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39A9" w14:textId="701DBD98" w:rsidR="0005308D" w:rsidRPr="00B442F5" w:rsidRDefault="0005308D" w:rsidP="00550BE7">
      <w:pPr>
        <w:pStyle w:val="NoSpacing"/>
        <w:spacing w:line="360" w:lineRule="auto"/>
        <w:rPr>
          <w:rFonts w:ascii="Times New Roman" w:hAnsi="Times New Roman" w:cs="Times New Roman"/>
          <w:b/>
          <w:bCs/>
          <w:sz w:val="32"/>
          <w:szCs w:val="28"/>
        </w:rPr>
      </w:pPr>
      <w:r w:rsidRPr="0005308D">
        <w:rPr>
          <w:rFonts w:ascii="Times New Roman" w:hAnsi="Times New Roman" w:cs="Times New Roman"/>
          <w:b/>
          <w:bCs/>
          <w:sz w:val="32"/>
          <w:szCs w:val="28"/>
        </w:rPr>
        <w:t>Carbon Budget</w:t>
      </w:r>
    </w:p>
    <w:p w14:paraId="72A81E7B" w14:textId="5DD368CC" w:rsidR="0005308D" w:rsidRPr="0005308D" w:rsidRDefault="0005308D" w:rsidP="00550BE7">
      <w:pPr>
        <w:pStyle w:val="NoSpacing"/>
        <w:spacing w:line="360" w:lineRule="auto"/>
        <w:rPr>
          <w:rFonts w:ascii="Times New Roman" w:hAnsi="Times New Roman" w:cs="Times New Roman"/>
          <w:b/>
          <w:bCs/>
          <w:sz w:val="28"/>
          <w:szCs w:val="24"/>
        </w:rPr>
      </w:pPr>
      <w:r w:rsidRPr="0005308D">
        <w:rPr>
          <w:rFonts w:ascii="Times New Roman" w:hAnsi="Times New Roman" w:cs="Times New Roman"/>
          <w:b/>
          <w:bCs/>
          <w:sz w:val="28"/>
          <w:szCs w:val="24"/>
        </w:rPr>
        <w:t>Overview</w:t>
      </w:r>
    </w:p>
    <w:p w14:paraId="4242AA26" w14:textId="7CAB1D1E" w:rsidR="00B2424F" w:rsidRDefault="00813D68" w:rsidP="007A0EB9">
      <w:pPr>
        <w:pStyle w:val="NoSpacing"/>
        <w:spacing w:line="360" w:lineRule="auto"/>
        <w:ind w:firstLine="720"/>
        <w:rPr>
          <w:rFonts w:ascii="Times New Roman" w:hAnsi="Times New Roman" w:cs="Times New Roman"/>
        </w:rPr>
      </w:pPr>
      <w:r>
        <w:rPr>
          <w:rFonts w:ascii="Times New Roman" w:hAnsi="Times New Roman" w:cs="Times New Roman"/>
        </w:rPr>
        <w:t>About 98</w:t>
      </w:r>
      <w:r w:rsidR="001E50A4">
        <w:rPr>
          <w:rFonts w:ascii="Times New Roman" w:hAnsi="Times New Roman" w:cs="Times New Roman"/>
        </w:rPr>
        <w:t xml:space="preserve">% of </w:t>
      </w:r>
      <w:r w:rsidR="00EE0D6C">
        <w:rPr>
          <w:rFonts w:ascii="Times New Roman" w:hAnsi="Times New Roman" w:cs="Times New Roman"/>
        </w:rPr>
        <w:t xml:space="preserve">the state of </w:t>
      </w:r>
      <w:r w:rsidR="001E50A4">
        <w:rPr>
          <w:rFonts w:ascii="Times New Roman" w:hAnsi="Times New Roman" w:cs="Times New Roman"/>
        </w:rPr>
        <w:t>Vermont is comprised of forests, farml</w:t>
      </w:r>
      <w:r w:rsidR="00EE0D6C">
        <w:rPr>
          <w:rFonts w:ascii="Times New Roman" w:hAnsi="Times New Roman" w:cs="Times New Roman"/>
        </w:rPr>
        <w:t>ands</w:t>
      </w:r>
      <w:r w:rsidR="001E50A4">
        <w:rPr>
          <w:rFonts w:ascii="Times New Roman" w:hAnsi="Times New Roman" w:cs="Times New Roman"/>
        </w:rPr>
        <w:t xml:space="preserve">, </w:t>
      </w:r>
      <w:r w:rsidR="00EE0D6C">
        <w:rPr>
          <w:rFonts w:ascii="Times New Roman" w:hAnsi="Times New Roman" w:cs="Times New Roman"/>
        </w:rPr>
        <w:t>grass</w:t>
      </w:r>
      <w:r w:rsidR="00C61FBB">
        <w:rPr>
          <w:rFonts w:ascii="Times New Roman" w:hAnsi="Times New Roman" w:cs="Times New Roman"/>
        </w:rPr>
        <w:t xml:space="preserve"> and shrublands</w:t>
      </w:r>
      <w:r w:rsidR="00EE0D6C">
        <w:rPr>
          <w:rFonts w:ascii="Times New Roman" w:hAnsi="Times New Roman" w:cs="Times New Roman"/>
        </w:rPr>
        <w:t xml:space="preserve">, </w:t>
      </w:r>
      <w:r w:rsidR="001E50A4">
        <w:rPr>
          <w:rFonts w:ascii="Times New Roman" w:hAnsi="Times New Roman" w:cs="Times New Roman"/>
        </w:rPr>
        <w:t xml:space="preserve">wetlands, </w:t>
      </w:r>
      <w:r w:rsidR="00E22E3A">
        <w:rPr>
          <w:rFonts w:ascii="Times New Roman" w:hAnsi="Times New Roman" w:cs="Times New Roman"/>
        </w:rPr>
        <w:t>lakes, ponds, rivers</w:t>
      </w:r>
      <w:r w:rsidR="00B838BE">
        <w:rPr>
          <w:rFonts w:ascii="Times New Roman" w:hAnsi="Times New Roman" w:cs="Times New Roman"/>
        </w:rPr>
        <w:t xml:space="preserve">, </w:t>
      </w:r>
      <w:r w:rsidR="001E50A4">
        <w:rPr>
          <w:rFonts w:ascii="Times New Roman" w:hAnsi="Times New Roman" w:cs="Times New Roman"/>
        </w:rPr>
        <w:t>and other ecosystems</w:t>
      </w:r>
      <w:r w:rsidR="004A6AEC">
        <w:rPr>
          <w:rStyle w:val="FootnoteReference"/>
          <w:rFonts w:ascii="Times New Roman" w:hAnsi="Times New Roman" w:cs="Times New Roman"/>
        </w:rPr>
        <w:footnoteReference w:id="2"/>
      </w:r>
      <w:r w:rsidR="001E50A4">
        <w:rPr>
          <w:rFonts w:ascii="Times New Roman" w:hAnsi="Times New Roman" w:cs="Times New Roman"/>
        </w:rPr>
        <w:t>. Because plants can</w:t>
      </w:r>
      <w:r w:rsidR="00B70924">
        <w:rPr>
          <w:rFonts w:ascii="Times New Roman" w:hAnsi="Times New Roman" w:cs="Times New Roman"/>
        </w:rPr>
        <w:t xml:space="preserve"> capture </w:t>
      </w:r>
      <w:r w:rsidR="00DB291F">
        <w:rPr>
          <w:rFonts w:ascii="Times New Roman" w:hAnsi="Times New Roman" w:cs="Times New Roman"/>
        </w:rPr>
        <w:t>carbon dioxide (</w:t>
      </w:r>
      <w:r w:rsidR="00B70924">
        <w:rPr>
          <w:rFonts w:ascii="Times New Roman" w:hAnsi="Times New Roman" w:cs="Times New Roman"/>
        </w:rPr>
        <w:t>CO</w:t>
      </w:r>
      <w:r w:rsidR="00B70924" w:rsidRPr="00DB291F">
        <w:rPr>
          <w:rFonts w:ascii="Times New Roman" w:hAnsi="Times New Roman" w:cs="Times New Roman"/>
          <w:vertAlign w:val="subscript"/>
        </w:rPr>
        <w:t>2</w:t>
      </w:r>
      <w:r w:rsidR="00DB291F">
        <w:rPr>
          <w:rFonts w:ascii="Times New Roman" w:hAnsi="Times New Roman" w:cs="Times New Roman"/>
        </w:rPr>
        <w:t xml:space="preserve">) </w:t>
      </w:r>
      <w:r w:rsidR="00B70924">
        <w:rPr>
          <w:rFonts w:ascii="Times New Roman" w:hAnsi="Times New Roman" w:cs="Times New Roman"/>
        </w:rPr>
        <w:t xml:space="preserve">from the air and store </w:t>
      </w:r>
      <w:r w:rsidR="00CC160B">
        <w:rPr>
          <w:rFonts w:ascii="Times New Roman" w:hAnsi="Times New Roman" w:cs="Times New Roman"/>
        </w:rPr>
        <w:t>the carbon</w:t>
      </w:r>
      <w:r w:rsidR="000A78F5">
        <w:rPr>
          <w:rFonts w:ascii="Times New Roman" w:hAnsi="Times New Roman" w:cs="Times New Roman"/>
        </w:rPr>
        <w:t xml:space="preserve"> in wood and soil</w:t>
      </w:r>
      <w:r w:rsidR="00B70924">
        <w:rPr>
          <w:rFonts w:ascii="Times New Roman" w:hAnsi="Times New Roman" w:cs="Times New Roman"/>
        </w:rPr>
        <w:t>,</w:t>
      </w:r>
      <w:r w:rsidR="000A489A">
        <w:rPr>
          <w:rFonts w:ascii="Times New Roman" w:hAnsi="Times New Roman" w:cs="Times New Roman"/>
        </w:rPr>
        <w:t xml:space="preserve"> </w:t>
      </w:r>
      <w:r w:rsidR="00B70924">
        <w:rPr>
          <w:rFonts w:ascii="Times New Roman" w:hAnsi="Times New Roman" w:cs="Times New Roman"/>
        </w:rPr>
        <w:t>it is important to</w:t>
      </w:r>
      <w:r w:rsidR="00F14131">
        <w:rPr>
          <w:rFonts w:ascii="Times New Roman" w:hAnsi="Times New Roman" w:cs="Times New Roman"/>
        </w:rPr>
        <w:t xml:space="preserve"> </w:t>
      </w:r>
      <w:r w:rsidR="00B2424F">
        <w:rPr>
          <w:rFonts w:ascii="Times New Roman" w:hAnsi="Times New Roman" w:cs="Times New Roman"/>
        </w:rPr>
        <w:t>quantify</w:t>
      </w:r>
      <w:r w:rsidR="00521CDF">
        <w:rPr>
          <w:rFonts w:ascii="Times New Roman" w:hAnsi="Times New Roman" w:cs="Times New Roman"/>
        </w:rPr>
        <w:t xml:space="preserve"> </w:t>
      </w:r>
      <w:r w:rsidR="00B2424F">
        <w:rPr>
          <w:rFonts w:ascii="Times New Roman" w:hAnsi="Times New Roman" w:cs="Times New Roman"/>
        </w:rPr>
        <w:t>how much CO</w:t>
      </w:r>
      <w:r w:rsidR="00B2424F" w:rsidRPr="00B2424F">
        <w:rPr>
          <w:rFonts w:ascii="Times New Roman" w:hAnsi="Times New Roman" w:cs="Times New Roman"/>
          <w:vertAlign w:val="subscript"/>
        </w:rPr>
        <w:t>2</w:t>
      </w:r>
      <w:r w:rsidR="00B2424F">
        <w:rPr>
          <w:rFonts w:ascii="Times New Roman" w:hAnsi="Times New Roman" w:cs="Times New Roman"/>
        </w:rPr>
        <w:t xml:space="preserve"> is contained in </w:t>
      </w:r>
      <w:r w:rsidR="007C5E3E">
        <w:rPr>
          <w:rFonts w:ascii="Times New Roman" w:hAnsi="Times New Roman" w:cs="Times New Roman"/>
        </w:rPr>
        <w:t xml:space="preserve">these ecosystems </w:t>
      </w:r>
      <w:r w:rsidR="00B2424F">
        <w:rPr>
          <w:rFonts w:ascii="Times New Roman" w:hAnsi="Times New Roman" w:cs="Times New Roman"/>
        </w:rPr>
        <w:t>and at what rate CO</w:t>
      </w:r>
      <w:r w:rsidR="00B2424F" w:rsidRPr="00B2424F">
        <w:rPr>
          <w:rFonts w:ascii="Times New Roman" w:hAnsi="Times New Roman" w:cs="Times New Roman"/>
          <w:vertAlign w:val="subscript"/>
        </w:rPr>
        <w:t>2</w:t>
      </w:r>
      <w:r w:rsidR="00B2424F">
        <w:rPr>
          <w:rFonts w:ascii="Times New Roman" w:hAnsi="Times New Roman" w:cs="Times New Roman"/>
        </w:rPr>
        <w:t xml:space="preserve"> </w:t>
      </w:r>
      <w:r w:rsidR="64F4973A">
        <w:rPr>
          <w:rFonts w:ascii="Times New Roman" w:hAnsi="Times New Roman" w:cs="Times New Roman"/>
        </w:rPr>
        <w:t xml:space="preserve">is </w:t>
      </w:r>
      <w:r w:rsidR="007A497E">
        <w:rPr>
          <w:rFonts w:ascii="Times New Roman" w:hAnsi="Times New Roman" w:cs="Times New Roman"/>
        </w:rPr>
        <w:t xml:space="preserve">taken </w:t>
      </w:r>
      <w:r w:rsidR="00CC160B">
        <w:rPr>
          <w:rFonts w:ascii="Times New Roman" w:hAnsi="Times New Roman" w:cs="Times New Roman"/>
        </w:rPr>
        <w:t>out</w:t>
      </w:r>
      <w:r w:rsidR="00B2424F">
        <w:rPr>
          <w:rFonts w:ascii="Times New Roman" w:hAnsi="Times New Roman" w:cs="Times New Roman"/>
        </w:rPr>
        <w:t xml:space="preserve"> </w:t>
      </w:r>
      <w:r w:rsidR="00CC160B">
        <w:rPr>
          <w:rFonts w:ascii="Times New Roman" w:hAnsi="Times New Roman" w:cs="Times New Roman"/>
        </w:rPr>
        <w:t>of</w:t>
      </w:r>
      <w:r w:rsidR="00B2424F">
        <w:rPr>
          <w:rFonts w:ascii="Times New Roman" w:hAnsi="Times New Roman" w:cs="Times New Roman"/>
        </w:rPr>
        <w:t xml:space="preserve"> the atmosphere. </w:t>
      </w:r>
      <w:r w:rsidR="000A0282">
        <w:rPr>
          <w:rFonts w:ascii="Times New Roman" w:hAnsi="Times New Roman" w:cs="Times New Roman"/>
        </w:rPr>
        <w:t>H</w:t>
      </w:r>
      <w:r w:rsidR="007C5E3E">
        <w:rPr>
          <w:rFonts w:ascii="Times New Roman" w:hAnsi="Times New Roman" w:cs="Times New Roman"/>
        </w:rPr>
        <w:t xml:space="preserve">uman </w:t>
      </w:r>
      <w:r w:rsidR="006B6846">
        <w:rPr>
          <w:rFonts w:ascii="Times New Roman" w:hAnsi="Times New Roman" w:cs="Times New Roman"/>
        </w:rPr>
        <w:t>decisions</w:t>
      </w:r>
      <w:r w:rsidR="007C5E3E">
        <w:rPr>
          <w:rFonts w:ascii="Times New Roman" w:hAnsi="Times New Roman" w:cs="Times New Roman"/>
        </w:rPr>
        <w:t xml:space="preserve"> can alter the</w:t>
      </w:r>
      <w:r w:rsidR="006D5AFC">
        <w:rPr>
          <w:rFonts w:ascii="Times New Roman" w:hAnsi="Times New Roman" w:cs="Times New Roman"/>
        </w:rPr>
        <w:t xml:space="preserve"> rate of CO</w:t>
      </w:r>
      <w:r w:rsidR="006D5AFC" w:rsidRPr="00E46F9E">
        <w:rPr>
          <w:rFonts w:ascii="Times New Roman" w:hAnsi="Times New Roman" w:cs="Times New Roman"/>
          <w:vertAlign w:val="subscript"/>
        </w:rPr>
        <w:t>2</w:t>
      </w:r>
      <w:r w:rsidR="006D5AFC">
        <w:rPr>
          <w:rFonts w:ascii="Times New Roman" w:hAnsi="Times New Roman" w:cs="Times New Roman"/>
        </w:rPr>
        <w:t xml:space="preserve"> </w:t>
      </w:r>
      <w:r w:rsidR="00481FB8">
        <w:rPr>
          <w:rFonts w:ascii="Times New Roman" w:hAnsi="Times New Roman" w:cs="Times New Roman"/>
        </w:rPr>
        <w:t>uptake by plant-based ecosystems</w:t>
      </w:r>
      <w:r w:rsidR="00770E90">
        <w:rPr>
          <w:rFonts w:ascii="Times New Roman" w:hAnsi="Times New Roman" w:cs="Times New Roman"/>
        </w:rPr>
        <w:t xml:space="preserve">, </w:t>
      </w:r>
      <w:r w:rsidR="00E46F9E">
        <w:rPr>
          <w:rFonts w:ascii="Times New Roman" w:hAnsi="Times New Roman" w:cs="Times New Roman"/>
        </w:rPr>
        <w:t>at times resulting</w:t>
      </w:r>
      <w:r w:rsidR="006D5AFC">
        <w:rPr>
          <w:rFonts w:ascii="Times New Roman" w:hAnsi="Times New Roman" w:cs="Times New Roman"/>
        </w:rPr>
        <w:t xml:space="preserve"> in </w:t>
      </w:r>
      <w:r w:rsidR="00481FB8">
        <w:rPr>
          <w:rFonts w:ascii="Times New Roman" w:hAnsi="Times New Roman" w:cs="Times New Roman"/>
        </w:rPr>
        <w:t xml:space="preserve">net </w:t>
      </w:r>
      <w:r w:rsidR="006D5AFC">
        <w:rPr>
          <w:rFonts w:ascii="Times New Roman" w:hAnsi="Times New Roman" w:cs="Times New Roman"/>
        </w:rPr>
        <w:t>emissions of CO</w:t>
      </w:r>
      <w:r w:rsidR="006D5AFC" w:rsidRPr="00E46F9E">
        <w:rPr>
          <w:rFonts w:ascii="Times New Roman" w:hAnsi="Times New Roman" w:cs="Times New Roman"/>
          <w:vertAlign w:val="subscript"/>
        </w:rPr>
        <w:t xml:space="preserve">2 </w:t>
      </w:r>
      <w:r w:rsidR="006D5AFC">
        <w:rPr>
          <w:rFonts w:ascii="Times New Roman" w:hAnsi="Times New Roman" w:cs="Times New Roman"/>
        </w:rPr>
        <w:t>back to the atmosphere</w:t>
      </w:r>
      <w:r w:rsidR="00CC160B">
        <w:rPr>
          <w:rFonts w:ascii="Times New Roman" w:hAnsi="Times New Roman" w:cs="Times New Roman"/>
        </w:rPr>
        <w:t>.</w:t>
      </w:r>
      <w:r w:rsidR="006D5AFC">
        <w:rPr>
          <w:rFonts w:ascii="Times New Roman" w:hAnsi="Times New Roman" w:cs="Times New Roman"/>
        </w:rPr>
        <w:t xml:space="preserve"> </w:t>
      </w:r>
      <w:r w:rsidR="00CC160B">
        <w:rPr>
          <w:rFonts w:ascii="Times New Roman" w:hAnsi="Times New Roman" w:cs="Times New Roman"/>
        </w:rPr>
        <w:t>A</w:t>
      </w:r>
      <w:r w:rsidR="00CC247E">
        <w:rPr>
          <w:rFonts w:ascii="Times New Roman" w:hAnsi="Times New Roman" w:cs="Times New Roman"/>
        </w:rPr>
        <w:t>s such</w:t>
      </w:r>
      <w:r w:rsidR="00CC160B">
        <w:rPr>
          <w:rFonts w:ascii="Times New Roman" w:hAnsi="Times New Roman" w:cs="Times New Roman"/>
        </w:rPr>
        <w:t>,</w:t>
      </w:r>
      <w:r w:rsidR="00CC247E">
        <w:rPr>
          <w:rFonts w:ascii="Times New Roman" w:hAnsi="Times New Roman" w:cs="Times New Roman"/>
        </w:rPr>
        <w:t xml:space="preserve"> </w:t>
      </w:r>
      <w:r w:rsidR="006B6846">
        <w:rPr>
          <w:rFonts w:ascii="Times New Roman" w:hAnsi="Times New Roman" w:cs="Times New Roman"/>
        </w:rPr>
        <w:t>management decisions, like timber harvests, land</w:t>
      </w:r>
      <w:r w:rsidR="00E22E3A">
        <w:rPr>
          <w:rFonts w:ascii="Times New Roman" w:hAnsi="Times New Roman" w:cs="Times New Roman"/>
        </w:rPr>
        <w:t>-</w:t>
      </w:r>
      <w:r w:rsidR="006B6846">
        <w:rPr>
          <w:rFonts w:ascii="Times New Roman" w:hAnsi="Times New Roman" w:cs="Times New Roman"/>
        </w:rPr>
        <w:t>use conversion, and farming practices must be included</w:t>
      </w:r>
      <w:r w:rsidR="00E46F9E">
        <w:rPr>
          <w:rFonts w:ascii="Times New Roman" w:hAnsi="Times New Roman" w:cs="Times New Roman"/>
        </w:rPr>
        <w:t xml:space="preserve"> </w:t>
      </w:r>
      <w:r w:rsidR="005E4388">
        <w:rPr>
          <w:rFonts w:ascii="Times New Roman" w:hAnsi="Times New Roman" w:cs="Times New Roman"/>
        </w:rPr>
        <w:t xml:space="preserve">in these estimates </w:t>
      </w:r>
      <w:r w:rsidR="00E46F9E">
        <w:rPr>
          <w:rFonts w:ascii="Times New Roman" w:hAnsi="Times New Roman" w:cs="Times New Roman"/>
        </w:rPr>
        <w:t>for a comprehensive picture</w:t>
      </w:r>
      <w:r w:rsidR="00481FB8">
        <w:rPr>
          <w:rFonts w:ascii="Times New Roman" w:hAnsi="Times New Roman" w:cs="Times New Roman"/>
        </w:rPr>
        <w:t xml:space="preserve"> of the influence of</w:t>
      </w:r>
      <w:r w:rsidR="00481FB8" w:rsidRPr="0005308D">
        <w:rPr>
          <w:rFonts w:ascii="Times New Roman" w:hAnsi="Times New Roman" w:cs="Times New Roman"/>
        </w:rPr>
        <w:t xml:space="preserve"> agriculture, forestry, and other land uses </w:t>
      </w:r>
      <w:r w:rsidR="00481FB8">
        <w:rPr>
          <w:rFonts w:ascii="Times New Roman" w:hAnsi="Times New Roman" w:cs="Times New Roman"/>
        </w:rPr>
        <w:t>(</w:t>
      </w:r>
      <w:r w:rsidR="00481FB8" w:rsidRPr="00EB5340">
        <w:rPr>
          <w:rFonts w:ascii="Times New Roman" w:hAnsi="Times New Roman" w:cs="Times New Roman"/>
        </w:rPr>
        <w:t>AFOLU</w:t>
      </w:r>
      <w:r w:rsidR="00481FB8">
        <w:rPr>
          <w:rFonts w:ascii="Times New Roman" w:hAnsi="Times New Roman" w:cs="Times New Roman"/>
        </w:rPr>
        <w:t xml:space="preserve">) on Vermont’s net greenhouse </w:t>
      </w:r>
      <w:r w:rsidR="689D3B72">
        <w:rPr>
          <w:rFonts w:ascii="Times New Roman" w:hAnsi="Times New Roman" w:cs="Times New Roman"/>
        </w:rPr>
        <w:t xml:space="preserve">gas </w:t>
      </w:r>
      <w:r w:rsidR="00481FB8">
        <w:rPr>
          <w:rFonts w:ascii="Times New Roman" w:hAnsi="Times New Roman" w:cs="Times New Roman"/>
        </w:rPr>
        <w:t>(GHG) emissions</w:t>
      </w:r>
      <w:r w:rsidR="00C9458A">
        <w:rPr>
          <w:rFonts w:ascii="Times New Roman" w:hAnsi="Times New Roman" w:cs="Times New Roman"/>
        </w:rPr>
        <w:t>.</w:t>
      </w:r>
      <w:r w:rsidR="005D4BCF">
        <w:rPr>
          <w:rFonts w:ascii="Times New Roman" w:hAnsi="Times New Roman" w:cs="Times New Roman"/>
        </w:rPr>
        <w:t xml:space="preserve"> </w:t>
      </w:r>
    </w:p>
    <w:p w14:paraId="33C62746" w14:textId="3FC59C9B" w:rsidR="009E3CBF" w:rsidRDefault="007C5E3E" w:rsidP="00D170DD">
      <w:pPr>
        <w:pStyle w:val="NoSpacing"/>
        <w:spacing w:line="360" w:lineRule="auto"/>
        <w:ind w:firstLine="720"/>
        <w:rPr>
          <w:rFonts w:ascii="Times New Roman" w:hAnsi="Times New Roman" w:cs="Times New Roman"/>
        </w:rPr>
      </w:pPr>
      <w:r w:rsidRPr="00EB5340">
        <w:rPr>
          <w:rFonts w:ascii="Times New Roman" w:hAnsi="Times New Roman" w:cs="Times New Roman"/>
        </w:rPr>
        <w:t xml:space="preserve">The </w:t>
      </w:r>
      <w:r w:rsidR="00481FB8">
        <w:rPr>
          <w:rFonts w:ascii="Times New Roman" w:hAnsi="Times New Roman" w:cs="Times New Roman"/>
        </w:rPr>
        <w:t xml:space="preserve">2021 </w:t>
      </w:r>
      <w:r w:rsidRPr="00F218DF">
        <w:rPr>
          <w:rFonts w:ascii="Times New Roman" w:hAnsi="Times New Roman" w:cs="Times New Roman"/>
          <w:i/>
          <w:iCs/>
        </w:rPr>
        <w:t>Carbon Budget</w:t>
      </w:r>
      <w:r w:rsidR="00EC1D58" w:rsidRPr="00F218DF">
        <w:rPr>
          <w:rFonts w:ascii="Times New Roman" w:hAnsi="Times New Roman" w:cs="Times New Roman"/>
          <w:i/>
          <w:iCs/>
        </w:rPr>
        <w:t xml:space="preserve"> for Vermont</w:t>
      </w:r>
      <w:r>
        <w:rPr>
          <w:rStyle w:val="FootnoteReference"/>
          <w:rFonts w:ascii="Times New Roman" w:hAnsi="Times New Roman" w:cs="Times New Roman"/>
        </w:rPr>
        <w:footnoteReference w:id="3"/>
      </w:r>
      <w:r w:rsidRPr="00EB5340">
        <w:rPr>
          <w:rFonts w:ascii="Times New Roman" w:hAnsi="Times New Roman" w:cs="Times New Roman"/>
        </w:rPr>
        <w:t xml:space="preserve"> </w:t>
      </w:r>
      <w:r w:rsidR="00535651">
        <w:rPr>
          <w:rFonts w:ascii="Times New Roman" w:hAnsi="Times New Roman" w:cs="Times New Roman"/>
        </w:rPr>
        <w:t>r</w:t>
      </w:r>
      <w:r w:rsidRPr="00EB5340">
        <w:rPr>
          <w:rFonts w:ascii="Times New Roman" w:hAnsi="Times New Roman" w:cs="Times New Roman"/>
        </w:rPr>
        <w:t xml:space="preserve">epresents the first attempt to provide a high-level, comprehensive picture </w:t>
      </w:r>
      <w:r>
        <w:rPr>
          <w:rFonts w:ascii="Times New Roman" w:hAnsi="Times New Roman" w:cs="Times New Roman"/>
        </w:rPr>
        <w:t xml:space="preserve">of the </w:t>
      </w:r>
      <w:r w:rsidRPr="00EB5340">
        <w:rPr>
          <w:rFonts w:ascii="Times New Roman" w:hAnsi="Times New Roman" w:cs="Times New Roman"/>
        </w:rPr>
        <w:t>AFOLU</w:t>
      </w:r>
      <w:r w:rsidR="009C0CCB">
        <w:rPr>
          <w:rFonts w:ascii="Times New Roman" w:hAnsi="Times New Roman" w:cs="Times New Roman"/>
        </w:rPr>
        <w:t xml:space="preserve"> sector</w:t>
      </w:r>
      <w:r>
        <w:rPr>
          <w:rFonts w:ascii="Times New Roman" w:hAnsi="Times New Roman" w:cs="Times New Roman"/>
        </w:rPr>
        <w:t xml:space="preserve"> on </w:t>
      </w:r>
      <w:r w:rsidR="001C0D86">
        <w:rPr>
          <w:rFonts w:ascii="Times New Roman" w:hAnsi="Times New Roman" w:cs="Times New Roman"/>
        </w:rPr>
        <w:t xml:space="preserve">the </w:t>
      </w:r>
      <w:r w:rsidR="00DF352F">
        <w:rPr>
          <w:rFonts w:ascii="Times New Roman" w:hAnsi="Times New Roman" w:cs="Times New Roman"/>
        </w:rPr>
        <w:t xml:space="preserve">balance </w:t>
      </w:r>
      <w:r w:rsidR="6BC9622E">
        <w:rPr>
          <w:rFonts w:ascii="Times New Roman" w:hAnsi="Times New Roman" w:cs="Times New Roman"/>
        </w:rPr>
        <w:t xml:space="preserve">of </w:t>
      </w:r>
      <w:r w:rsidR="426ECD6B">
        <w:rPr>
          <w:rFonts w:ascii="Times New Roman" w:hAnsi="Times New Roman" w:cs="Times New Roman"/>
        </w:rPr>
        <w:t xml:space="preserve">the </w:t>
      </w:r>
      <w:r w:rsidR="5819D2BE">
        <w:rPr>
          <w:rFonts w:ascii="Times New Roman" w:hAnsi="Times New Roman" w:cs="Times New Roman"/>
        </w:rPr>
        <w:t>S</w:t>
      </w:r>
      <w:r w:rsidR="1D91B991">
        <w:rPr>
          <w:rFonts w:ascii="Times New Roman" w:hAnsi="Times New Roman" w:cs="Times New Roman"/>
        </w:rPr>
        <w:t>tate’s</w:t>
      </w:r>
      <w:r>
        <w:rPr>
          <w:rFonts w:ascii="Times New Roman" w:hAnsi="Times New Roman" w:cs="Times New Roman"/>
        </w:rPr>
        <w:t xml:space="preserve"> GHG emissions</w:t>
      </w:r>
      <w:r w:rsidR="006D665A">
        <w:rPr>
          <w:rStyle w:val="FootnoteReference"/>
          <w:rFonts w:ascii="Times New Roman" w:hAnsi="Times New Roman" w:cs="Times New Roman"/>
        </w:rPr>
        <w:footnoteReference w:id="4"/>
      </w:r>
      <w:r w:rsidRPr="0005308D">
        <w:rPr>
          <w:rFonts w:ascii="Times New Roman" w:hAnsi="Times New Roman" w:cs="Times New Roman"/>
        </w:rPr>
        <w:t>.</w:t>
      </w:r>
      <w:r w:rsidRPr="00EB5340">
        <w:rPr>
          <w:rFonts w:ascii="Times New Roman" w:hAnsi="Times New Roman" w:cs="Times New Roman"/>
        </w:rPr>
        <w:t xml:space="preserve"> </w:t>
      </w:r>
      <w:r w:rsidR="00855610" w:rsidRPr="0005308D">
        <w:rPr>
          <w:rFonts w:ascii="Times New Roman" w:hAnsi="Times New Roman" w:cs="Times New Roman"/>
        </w:rPr>
        <w:t xml:space="preserve">The </w:t>
      </w:r>
      <w:r w:rsidR="00855610" w:rsidRPr="00F218DF">
        <w:rPr>
          <w:rFonts w:ascii="Times New Roman" w:hAnsi="Times New Roman" w:cs="Times New Roman"/>
          <w:i/>
          <w:iCs/>
        </w:rPr>
        <w:t>Carbon Budget</w:t>
      </w:r>
      <w:r w:rsidR="00855610" w:rsidRPr="0005308D">
        <w:rPr>
          <w:rFonts w:ascii="Times New Roman" w:hAnsi="Times New Roman" w:cs="Times New Roman"/>
        </w:rPr>
        <w:t xml:space="preserve"> presents carbon stocks and fluxes</w:t>
      </w:r>
      <w:r w:rsidR="00855610">
        <w:rPr>
          <w:rFonts w:ascii="Times New Roman" w:hAnsi="Times New Roman" w:cs="Times New Roman"/>
        </w:rPr>
        <w:t xml:space="preserve"> for the AFOLU sector.</w:t>
      </w:r>
      <w:r w:rsidR="00855610" w:rsidRPr="00EB5340">
        <w:rPr>
          <w:rFonts w:ascii="Times New Roman" w:hAnsi="Times New Roman" w:cs="Times New Roman"/>
        </w:rPr>
        <w:t xml:space="preserve"> A carbon stock is how much </w:t>
      </w:r>
      <w:r w:rsidR="002D04DB">
        <w:rPr>
          <w:rFonts w:ascii="Times New Roman" w:hAnsi="Times New Roman" w:cs="Times New Roman"/>
        </w:rPr>
        <w:t>CO</w:t>
      </w:r>
      <w:r w:rsidR="002D04DB" w:rsidRPr="002D04DB">
        <w:rPr>
          <w:rFonts w:ascii="Times New Roman" w:hAnsi="Times New Roman" w:cs="Times New Roman"/>
          <w:vertAlign w:val="subscript"/>
        </w:rPr>
        <w:t>2</w:t>
      </w:r>
      <w:r w:rsidR="00855610" w:rsidRPr="00EB5340">
        <w:rPr>
          <w:rFonts w:ascii="Times New Roman" w:hAnsi="Times New Roman" w:cs="Times New Roman"/>
        </w:rPr>
        <w:t xml:space="preserve"> has been stored </w:t>
      </w:r>
      <w:r w:rsidR="00855610">
        <w:rPr>
          <w:rFonts w:ascii="Times New Roman" w:hAnsi="Times New Roman" w:cs="Times New Roman"/>
        </w:rPr>
        <w:t xml:space="preserve">in an entity, like a tree or an acre of land. Carbon flux is the rate at which </w:t>
      </w:r>
      <w:r w:rsidR="00943CE6">
        <w:rPr>
          <w:rFonts w:ascii="Times New Roman" w:hAnsi="Times New Roman" w:cs="Times New Roman"/>
        </w:rPr>
        <w:t>CO</w:t>
      </w:r>
      <w:r w:rsidR="00943CE6" w:rsidRPr="00943CE6">
        <w:rPr>
          <w:rFonts w:ascii="Times New Roman" w:hAnsi="Times New Roman" w:cs="Times New Roman"/>
          <w:vertAlign w:val="subscript"/>
        </w:rPr>
        <w:t>2</w:t>
      </w:r>
      <w:r w:rsidR="00855610">
        <w:rPr>
          <w:rFonts w:ascii="Times New Roman" w:hAnsi="Times New Roman" w:cs="Times New Roman"/>
        </w:rPr>
        <w:t xml:space="preserve"> is taken in </w:t>
      </w:r>
      <w:r w:rsidR="00D7108B">
        <w:rPr>
          <w:rFonts w:ascii="Times New Roman" w:hAnsi="Times New Roman" w:cs="Times New Roman"/>
        </w:rPr>
        <w:t xml:space="preserve">from </w:t>
      </w:r>
      <w:r w:rsidR="008E5B33">
        <w:rPr>
          <w:rFonts w:ascii="Times New Roman" w:hAnsi="Times New Roman" w:cs="Times New Roman"/>
        </w:rPr>
        <w:t>or released</w:t>
      </w:r>
      <w:r w:rsidR="00D7108B">
        <w:rPr>
          <w:rFonts w:ascii="Times New Roman" w:hAnsi="Times New Roman" w:cs="Times New Roman"/>
        </w:rPr>
        <w:t xml:space="preserve"> to the atmosphere</w:t>
      </w:r>
      <w:r w:rsidR="008E5B33">
        <w:rPr>
          <w:rFonts w:ascii="Times New Roman" w:hAnsi="Times New Roman" w:cs="Times New Roman"/>
        </w:rPr>
        <w:t>.</w:t>
      </w:r>
      <w:r w:rsidR="00855610">
        <w:rPr>
          <w:rFonts w:ascii="Times New Roman" w:hAnsi="Times New Roman" w:cs="Times New Roman"/>
        </w:rPr>
        <w:t xml:space="preserve"> P</w:t>
      </w:r>
      <w:r w:rsidR="00855610" w:rsidRPr="00EB5340">
        <w:rPr>
          <w:rFonts w:ascii="Times New Roman" w:hAnsi="Times New Roman" w:cs="Times New Roman"/>
        </w:rPr>
        <w:t xml:space="preserve">ositive fluxes </w:t>
      </w:r>
      <w:r w:rsidR="00855610">
        <w:rPr>
          <w:rFonts w:ascii="Times New Roman" w:hAnsi="Times New Roman" w:cs="Times New Roman"/>
        </w:rPr>
        <w:t xml:space="preserve">represent </w:t>
      </w:r>
      <w:r w:rsidR="00D7108B">
        <w:rPr>
          <w:rFonts w:ascii="Times New Roman" w:hAnsi="Times New Roman" w:cs="Times New Roman"/>
        </w:rPr>
        <w:t>CO</w:t>
      </w:r>
      <w:r w:rsidR="00D7108B" w:rsidRPr="0097143B">
        <w:rPr>
          <w:rFonts w:ascii="Times New Roman" w:hAnsi="Times New Roman" w:cs="Times New Roman"/>
          <w:vertAlign w:val="subscript"/>
        </w:rPr>
        <w:t>2</w:t>
      </w:r>
      <w:r w:rsidR="00D7108B">
        <w:rPr>
          <w:rFonts w:ascii="Times New Roman" w:hAnsi="Times New Roman" w:cs="Times New Roman"/>
        </w:rPr>
        <w:t xml:space="preserve"> </w:t>
      </w:r>
      <w:r w:rsidR="00855610">
        <w:rPr>
          <w:rFonts w:ascii="Times New Roman" w:hAnsi="Times New Roman" w:cs="Times New Roman"/>
        </w:rPr>
        <w:t>emissions to the atmosphere</w:t>
      </w:r>
      <w:r w:rsidR="00D7108B">
        <w:rPr>
          <w:rFonts w:ascii="Times New Roman" w:hAnsi="Times New Roman" w:cs="Times New Roman"/>
        </w:rPr>
        <w:t xml:space="preserve"> </w:t>
      </w:r>
      <w:r w:rsidR="00D170DD">
        <w:rPr>
          <w:rFonts w:ascii="Times New Roman" w:hAnsi="Times New Roman" w:cs="Times New Roman"/>
        </w:rPr>
        <w:t xml:space="preserve">(also called </w:t>
      </w:r>
      <w:r w:rsidR="00156A9A">
        <w:rPr>
          <w:rFonts w:ascii="Times New Roman" w:hAnsi="Times New Roman" w:cs="Times New Roman"/>
        </w:rPr>
        <w:t xml:space="preserve">a </w:t>
      </w:r>
      <w:r w:rsidR="00D170DD">
        <w:rPr>
          <w:rFonts w:ascii="Times New Roman" w:hAnsi="Times New Roman" w:cs="Times New Roman"/>
        </w:rPr>
        <w:t xml:space="preserve">carbon source) </w:t>
      </w:r>
      <w:r w:rsidR="00D7108B">
        <w:rPr>
          <w:rFonts w:ascii="Times New Roman" w:hAnsi="Times New Roman" w:cs="Times New Roman"/>
        </w:rPr>
        <w:t>and n</w:t>
      </w:r>
      <w:r w:rsidR="00855610" w:rsidRPr="00EB5340">
        <w:rPr>
          <w:rFonts w:ascii="Times New Roman" w:hAnsi="Times New Roman" w:cs="Times New Roman"/>
        </w:rPr>
        <w:t xml:space="preserve">egative fluxes represent </w:t>
      </w:r>
      <w:r w:rsidR="0097143B">
        <w:rPr>
          <w:rFonts w:ascii="Times New Roman" w:hAnsi="Times New Roman" w:cs="Times New Roman"/>
        </w:rPr>
        <w:t xml:space="preserve">sequestration of </w:t>
      </w:r>
      <w:r w:rsidR="00D7108B">
        <w:rPr>
          <w:rFonts w:ascii="Times New Roman" w:hAnsi="Times New Roman" w:cs="Times New Roman"/>
        </w:rPr>
        <w:t>CO</w:t>
      </w:r>
      <w:r w:rsidR="00D7108B" w:rsidRPr="0097143B">
        <w:rPr>
          <w:rFonts w:ascii="Times New Roman" w:hAnsi="Times New Roman" w:cs="Times New Roman"/>
          <w:vertAlign w:val="subscript"/>
        </w:rPr>
        <w:t>2</w:t>
      </w:r>
      <w:r w:rsidR="0097143B">
        <w:rPr>
          <w:rFonts w:ascii="Times New Roman" w:hAnsi="Times New Roman" w:cs="Times New Roman"/>
        </w:rPr>
        <w:t xml:space="preserve"> from the atmosphere</w:t>
      </w:r>
      <w:r w:rsidR="00D170DD">
        <w:rPr>
          <w:rFonts w:ascii="Times New Roman" w:hAnsi="Times New Roman" w:cs="Times New Roman"/>
        </w:rPr>
        <w:t xml:space="preserve"> (also called </w:t>
      </w:r>
      <w:r w:rsidR="00156A9A">
        <w:rPr>
          <w:rFonts w:ascii="Times New Roman" w:hAnsi="Times New Roman" w:cs="Times New Roman"/>
        </w:rPr>
        <w:t xml:space="preserve">a </w:t>
      </w:r>
      <w:r w:rsidR="00D170DD">
        <w:rPr>
          <w:rFonts w:ascii="Times New Roman" w:hAnsi="Times New Roman" w:cs="Times New Roman"/>
        </w:rPr>
        <w:t>carbon sink)</w:t>
      </w:r>
      <w:r w:rsidR="00855610" w:rsidRPr="00EB5340">
        <w:rPr>
          <w:rFonts w:ascii="Times New Roman" w:hAnsi="Times New Roman" w:cs="Times New Roman"/>
        </w:rPr>
        <w:t xml:space="preserve">. </w:t>
      </w:r>
      <w:r w:rsidR="0097143B">
        <w:rPr>
          <w:rFonts w:ascii="Times New Roman" w:hAnsi="Times New Roman" w:cs="Times New Roman"/>
        </w:rPr>
        <w:t>The net carbon flux is the sum</w:t>
      </w:r>
      <w:r w:rsidR="65930013">
        <w:rPr>
          <w:rFonts w:ascii="Times New Roman" w:hAnsi="Times New Roman" w:cs="Times New Roman"/>
        </w:rPr>
        <w:t xml:space="preserve"> </w:t>
      </w:r>
      <w:r w:rsidR="381506EB">
        <w:rPr>
          <w:rFonts w:ascii="Times New Roman" w:hAnsi="Times New Roman" w:cs="Times New Roman"/>
        </w:rPr>
        <w:t>or balance</w:t>
      </w:r>
      <w:r w:rsidR="0097143B">
        <w:rPr>
          <w:rFonts w:ascii="Times New Roman" w:hAnsi="Times New Roman" w:cs="Times New Roman"/>
        </w:rPr>
        <w:t xml:space="preserve"> of emissions </w:t>
      </w:r>
      <w:r w:rsidR="009E3CBF">
        <w:rPr>
          <w:rFonts w:ascii="Times New Roman" w:hAnsi="Times New Roman" w:cs="Times New Roman"/>
        </w:rPr>
        <w:t xml:space="preserve">(sources) </w:t>
      </w:r>
      <w:r w:rsidR="0097143B">
        <w:rPr>
          <w:rFonts w:ascii="Times New Roman" w:hAnsi="Times New Roman" w:cs="Times New Roman"/>
        </w:rPr>
        <w:t>and sequestration</w:t>
      </w:r>
      <w:r w:rsidR="009E3CBF">
        <w:rPr>
          <w:rFonts w:ascii="Times New Roman" w:hAnsi="Times New Roman" w:cs="Times New Roman"/>
        </w:rPr>
        <w:t xml:space="preserve"> (sinks)</w:t>
      </w:r>
      <w:r w:rsidR="0097143B">
        <w:rPr>
          <w:rFonts w:ascii="Times New Roman" w:hAnsi="Times New Roman" w:cs="Times New Roman"/>
        </w:rPr>
        <w:t xml:space="preserve">. </w:t>
      </w:r>
    </w:p>
    <w:p w14:paraId="716E176B" w14:textId="2CAB0868" w:rsidR="00855610" w:rsidRDefault="00D170DD" w:rsidP="00D170DD">
      <w:pPr>
        <w:pStyle w:val="NoSpacing"/>
        <w:spacing w:line="360" w:lineRule="auto"/>
        <w:ind w:firstLine="720"/>
        <w:rPr>
          <w:rFonts w:ascii="Times New Roman" w:hAnsi="Times New Roman" w:cs="Times New Roman"/>
        </w:rPr>
      </w:pPr>
      <w:r>
        <w:rPr>
          <w:rFonts w:ascii="Times New Roman" w:hAnsi="Times New Roman" w:cs="Times New Roman"/>
        </w:rPr>
        <w:t xml:space="preserve">Within the </w:t>
      </w:r>
      <w:r w:rsidRPr="0005308D">
        <w:rPr>
          <w:rFonts w:ascii="Times New Roman" w:hAnsi="Times New Roman" w:cs="Times New Roman"/>
        </w:rPr>
        <w:t>AFOLU sector</w:t>
      </w:r>
      <w:r>
        <w:rPr>
          <w:rFonts w:ascii="Times New Roman" w:hAnsi="Times New Roman" w:cs="Times New Roman"/>
        </w:rPr>
        <w:t xml:space="preserve">, </w:t>
      </w:r>
      <w:r w:rsidRPr="00471B2C">
        <w:rPr>
          <w:rFonts w:ascii="Times New Roman" w:hAnsi="Times New Roman" w:cs="Times New Roman"/>
        </w:rPr>
        <w:t xml:space="preserve">the </w:t>
      </w:r>
      <w:r w:rsidRPr="00F218DF">
        <w:rPr>
          <w:rFonts w:ascii="Times New Roman" w:hAnsi="Times New Roman" w:cs="Times New Roman"/>
          <w:i/>
          <w:iCs/>
        </w:rPr>
        <w:t>Carbon Budget</w:t>
      </w:r>
      <w:r w:rsidRPr="00471B2C">
        <w:rPr>
          <w:rFonts w:ascii="Times New Roman" w:hAnsi="Times New Roman" w:cs="Times New Roman"/>
        </w:rPr>
        <w:t xml:space="preserve"> includes</w:t>
      </w:r>
      <w:r>
        <w:rPr>
          <w:rFonts w:ascii="Times New Roman" w:hAnsi="Times New Roman" w:cs="Times New Roman"/>
        </w:rPr>
        <w:t xml:space="preserve"> the following sub-sectors: </w:t>
      </w:r>
      <w:r w:rsidRPr="0005308D">
        <w:rPr>
          <w:rFonts w:ascii="Times New Roman" w:hAnsi="Times New Roman" w:cs="Times New Roman"/>
        </w:rPr>
        <w:t>forest</w:t>
      </w:r>
      <w:r w:rsidR="00EC37DA">
        <w:rPr>
          <w:rFonts w:ascii="Times New Roman" w:hAnsi="Times New Roman" w:cs="Times New Roman"/>
        </w:rPr>
        <w:t>s (includes forestland,</w:t>
      </w:r>
      <w:r w:rsidRPr="0005308D">
        <w:rPr>
          <w:rFonts w:ascii="Times New Roman" w:hAnsi="Times New Roman" w:cs="Times New Roman"/>
        </w:rPr>
        <w:t xml:space="preserve"> harvested wood products</w:t>
      </w:r>
      <w:r>
        <w:rPr>
          <w:rFonts w:ascii="Times New Roman" w:hAnsi="Times New Roman" w:cs="Times New Roman"/>
        </w:rPr>
        <w:t xml:space="preserve"> </w:t>
      </w:r>
      <w:r w:rsidR="00EC37DA">
        <w:rPr>
          <w:rFonts w:ascii="Times New Roman" w:hAnsi="Times New Roman" w:cs="Times New Roman"/>
        </w:rPr>
        <w:t>[</w:t>
      </w:r>
      <w:r>
        <w:rPr>
          <w:rFonts w:ascii="Times New Roman" w:hAnsi="Times New Roman" w:cs="Times New Roman"/>
        </w:rPr>
        <w:t>includes wood products used for energy and heat, wood products in use, and wood products in landfills</w:t>
      </w:r>
      <w:r w:rsidR="00EC37DA">
        <w:rPr>
          <w:rFonts w:ascii="Times New Roman" w:hAnsi="Times New Roman" w:cs="Times New Roman"/>
        </w:rPr>
        <w:t>]</w:t>
      </w:r>
      <w:r w:rsidRPr="0005308D">
        <w:rPr>
          <w:rFonts w:ascii="Times New Roman" w:hAnsi="Times New Roman" w:cs="Times New Roman"/>
        </w:rPr>
        <w:t xml:space="preserve">, </w:t>
      </w:r>
      <w:r w:rsidR="00EC37DA">
        <w:rPr>
          <w:rFonts w:ascii="Times New Roman" w:hAnsi="Times New Roman" w:cs="Times New Roman"/>
        </w:rPr>
        <w:t xml:space="preserve">and </w:t>
      </w:r>
      <w:r>
        <w:rPr>
          <w:rFonts w:ascii="Times New Roman" w:hAnsi="Times New Roman" w:cs="Times New Roman"/>
        </w:rPr>
        <w:t>land use change to/from forest</w:t>
      </w:r>
      <w:r w:rsidR="00EC37DA">
        <w:rPr>
          <w:rFonts w:ascii="Times New Roman" w:hAnsi="Times New Roman" w:cs="Times New Roman"/>
        </w:rPr>
        <w:t>)</w:t>
      </w:r>
      <w:r>
        <w:rPr>
          <w:rFonts w:ascii="Times New Roman" w:hAnsi="Times New Roman" w:cs="Times New Roman"/>
        </w:rPr>
        <w:t xml:space="preserve">, </w:t>
      </w:r>
      <w:r w:rsidR="00D00C11">
        <w:rPr>
          <w:rFonts w:ascii="Times New Roman" w:hAnsi="Times New Roman" w:cs="Times New Roman"/>
        </w:rPr>
        <w:t xml:space="preserve">agriculture, </w:t>
      </w:r>
      <w:r w:rsidRPr="0005308D">
        <w:rPr>
          <w:rFonts w:ascii="Times New Roman" w:hAnsi="Times New Roman" w:cs="Times New Roman"/>
        </w:rPr>
        <w:t>grasslands and shrublands, urban and developed lands</w:t>
      </w:r>
      <w:r w:rsidR="001175CB">
        <w:rPr>
          <w:rFonts w:ascii="Times New Roman" w:hAnsi="Times New Roman" w:cs="Times New Roman"/>
        </w:rPr>
        <w:t xml:space="preserve">, and </w:t>
      </w:r>
      <w:r w:rsidR="001175CB" w:rsidRPr="0005308D">
        <w:rPr>
          <w:rFonts w:ascii="Times New Roman" w:hAnsi="Times New Roman" w:cs="Times New Roman"/>
        </w:rPr>
        <w:t>wetlands</w:t>
      </w:r>
      <w:r w:rsidR="001175CB">
        <w:rPr>
          <w:rFonts w:ascii="Times New Roman" w:hAnsi="Times New Roman" w:cs="Times New Roman"/>
        </w:rPr>
        <w:t xml:space="preserve"> and</w:t>
      </w:r>
      <w:r w:rsidR="001175CB" w:rsidRPr="0005308D">
        <w:rPr>
          <w:rFonts w:ascii="Times New Roman" w:hAnsi="Times New Roman" w:cs="Times New Roman"/>
        </w:rPr>
        <w:t xml:space="preserve"> water bodies</w:t>
      </w:r>
      <w:r w:rsidRPr="0005308D">
        <w:rPr>
          <w:rFonts w:ascii="Times New Roman" w:hAnsi="Times New Roman" w:cs="Times New Roman"/>
        </w:rPr>
        <w:t xml:space="preserve">. </w:t>
      </w:r>
      <w:r w:rsidR="00F504DA">
        <w:rPr>
          <w:rFonts w:ascii="Times New Roman" w:hAnsi="Times New Roman" w:cs="Times New Roman"/>
        </w:rPr>
        <w:t>T</w:t>
      </w:r>
      <w:r w:rsidR="00F504DA" w:rsidRPr="00471B2C">
        <w:rPr>
          <w:rFonts w:ascii="Times New Roman" w:hAnsi="Times New Roman" w:cs="Times New Roman"/>
        </w:rPr>
        <w:t xml:space="preserve">he </w:t>
      </w:r>
      <w:r w:rsidR="00F504DA" w:rsidRPr="00F218DF">
        <w:rPr>
          <w:rFonts w:ascii="Times New Roman" w:hAnsi="Times New Roman" w:cs="Times New Roman"/>
          <w:i/>
          <w:iCs/>
        </w:rPr>
        <w:t>Carbon Budge</w:t>
      </w:r>
      <w:r w:rsidR="00F504DA" w:rsidRPr="00AF0F90">
        <w:rPr>
          <w:rFonts w:ascii="Times New Roman" w:hAnsi="Times New Roman" w:cs="Times New Roman"/>
          <w:i/>
          <w:iCs/>
        </w:rPr>
        <w:t xml:space="preserve">t </w:t>
      </w:r>
      <w:r w:rsidR="00F504DA">
        <w:rPr>
          <w:rFonts w:ascii="Times New Roman" w:hAnsi="Times New Roman" w:cs="Times New Roman"/>
        </w:rPr>
        <w:t>includes other GHGs in additi</w:t>
      </w:r>
      <w:r w:rsidR="003956D4">
        <w:rPr>
          <w:rFonts w:ascii="Times New Roman" w:hAnsi="Times New Roman" w:cs="Times New Roman"/>
        </w:rPr>
        <w:t>on to CO</w:t>
      </w:r>
      <w:r w:rsidR="003956D4" w:rsidRPr="003956D4">
        <w:rPr>
          <w:rFonts w:ascii="Times New Roman" w:hAnsi="Times New Roman" w:cs="Times New Roman"/>
          <w:vertAlign w:val="subscript"/>
        </w:rPr>
        <w:t>2</w:t>
      </w:r>
      <w:r w:rsidR="003956D4">
        <w:rPr>
          <w:rFonts w:ascii="Times New Roman" w:hAnsi="Times New Roman" w:cs="Times New Roman"/>
        </w:rPr>
        <w:t xml:space="preserve">, specifically </w:t>
      </w:r>
      <w:r w:rsidR="00F504DA" w:rsidRPr="0005308D">
        <w:rPr>
          <w:rFonts w:ascii="Times New Roman" w:hAnsi="Times New Roman" w:cs="Times New Roman"/>
        </w:rPr>
        <w:t>methane (CH</w:t>
      </w:r>
      <w:r w:rsidR="00F504DA" w:rsidRPr="0005308D">
        <w:rPr>
          <w:rFonts w:ascii="Times New Roman" w:hAnsi="Times New Roman" w:cs="Times New Roman"/>
          <w:vertAlign w:val="subscript"/>
        </w:rPr>
        <w:t>4</w:t>
      </w:r>
      <w:r w:rsidR="00F504DA" w:rsidRPr="0005308D">
        <w:rPr>
          <w:rFonts w:ascii="Times New Roman" w:hAnsi="Times New Roman" w:cs="Times New Roman"/>
        </w:rPr>
        <w:t xml:space="preserve">) and </w:t>
      </w:r>
      <w:r w:rsidR="00F504DA" w:rsidRPr="0005308D">
        <w:rPr>
          <w:rFonts w:ascii="Times New Roman" w:hAnsi="Times New Roman" w:cs="Times New Roman"/>
        </w:rPr>
        <w:lastRenderedPageBreak/>
        <w:t>nitrous oxide (N</w:t>
      </w:r>
      <w:r w:rsidR="00F504DA" w:rsidRPr="0005308D">
        <w:rPr>
          <w:rFonts w:ascii="Times New Roman" w:hAnsi="Times New Roman" w:cs="Times New Roman"/>
          <w:vertAlign w:val="subscript"/>
        </w:rPr>
        <w:t>2</w:t>
      </w:r>
      <w:r w:rsidR="00F504DA" w:rsidRPr="0005308D">
        <w:rPr>
          <w:rFonts w:ascii="Times New Roman" w:hAnsi="Times New Roman" w:cs="Times New Roman"/>
        </w:rPr>
        <w:t>O)</w:t>
      </w:r>
      <w:r w:rsidR="00BF076D">
        <w:rPr>
          <w:rFonts w:ascii="Times New Roman" w:hAnsi="Times New Roman" w:cs="Times New Roman"/>
        </w:rPr>
        <w:t>;</w:t>
      </w:r>
      <w:r w:rsidR="00F504DA">
        <w:rPr>
          <w:rFonts w:ascii="Times New Roman" w:hAnsi="Times New Roman" w:cs="Times New Roman"/>
        </w:rPr>
        <w:t xml:space="preserve"> </w:t>
      </w:r>
      <w:r w:rsidR="009C1662">
        <w:rPr>
          <w:rFonts w:ascii="Times New Roman" w:hAnsi="Times New Roman" w:cs="Times New Roman"/>
        </w:rPr>
        <w:t>for easier comparison</w:t>
      </w:r>
      <w:r w:rsidR="009C1662">
        <w:rPr>
          <w:rFonts w:ascii="Times New Roman" w:hAnsi="Times New Roman" w:cs="Times New Roman"/>
        </w:rPr>
        <w:t xml:space="preserve"> </w:t>
      </w:r>
      <w:r w:rsidR="00BF076D">
        <w:rPr>
          <w:rFonts w:ascii="Times New Roman" w:hAnsi="Times New Roman" w:cs="Times New Roman"/>
        </w:rPr>
        <w:t>these</w:t>
      </w:r>
      <w:r w:rsidR="003956D4">
        <w:rPr>
          <w:rFonts w:ascii="Times New Roman" w:hAnsi="Times New Roman" w:cs="Times New Roman"/>
        </w:rPr>
        <w:t xml:space="preserve"> other GHGs </w:t>
      </w:r>
      <w:r w:rsidR="00BF076D">
        <w:rPr>
          <w:rFonts w:ascii="Times New Roman" w:hAnsi="Times New Roman" w:cs="Times New Roman"/>
        </w:rPr>
        <w:t>we</w:t>
      </w:r>
      <w:r w:rsidR="003956D4">
        <w:rPr>
          <w:rFonts w:ascii="Times New Roman" w:hAnsi="Times New Roman" w:cs="Times New Roman"/>
        </w:rPr>
        <w:t>re converted into</w:t>
      </w:r>
      <w:r w:rsidR="00F504DA">
        <w:rPr>
          <w:rFonts w:ascii="Times New Roman" w:hAnsi="Times New Roman" w:cs="Times New Roman"/>
        </w:rPr>
        <w:t xml:space="preserve"> </w:t>
      </w:r>
      <w:r w:rsidR="00855610" w:rsidRPr="0005308D">
        <w:rPr>
          <w:rFonts w:ascii="Times New Roman" w:hAnsi="Times New Roman" w:cs="Times New Roman"/>
        </w:rPr>
        <w:t>metric tons of CO</w:t>
      </w:r>
      <w:r w:rsidR="00855610" w:rsidRPr="00CF30C4">
        <w:rPr>
          <w:rFonts w:ascii="Times New Roman" w:hAnsi="Times New Roman" w:cs="Times New Roman"/>
          <w:vertAlign w:val="subscript"/>
        </w:rPr>
        <w:t>2</w:t>
      </w:r>
      <w:r w:rsidR="00330860">
        <w:rPr>
          <w:rFonts w:ascii="Times New Roman" w:hAnsi="Times New Roman" w:cs="Times New Roman"/>
        </w:rPr>
        <w:t xml:space="preserve"> </w:t>
      </w:r>
      <w:r w:rsidR="00855610" w:rsidRPr="0005308D">
        <w:rPr>
          <w:rFonts w:ascii="Times New Roman" w:hAnsi="Times New Roman" w:cs="Times New Roman"/>
        </w:rPr>
        <w:t>equivalent</w:t>
      </w:r>
      <w:r w:rsidR="00855610">
        <w:rPr>
          <w:rFonts w:ascii="Times New Roman" w:hAnsi="Times New Roman" w:cs="Times New Roman"/>
        </w:rPr>
        <w:t>s</w:t>
      </w:r>
      <w:r w:rsidR="00855610" w:rsidRPr="0005308D">
        <w:rPr>
          <w:rFonts w:ascii="Times New Roman" w:hAnsi="Times New Roman" w:cs="Times New Roman"/>
        </w:rPr>
        <w:t xml:space="preserve"> (CO</w:t>
      </w:r>
      <w:r w:rsidR="00855610" w:rsidRPr="00CF30C4">
        <w:rPr>
          <w:rFonts w:ascii="Times New Roman" w:hAnsi="Times New Roman" w:cs="Times New Roman"/>
          <w:vertAlign w:val="subscript"/>
        </w:rPr>
        <w:t>2</w:t>
      </w:r>
      <w:r w:rsidR="00855610" w:rsidRPr="0005308D">
        <w:rPr>
          <w:rFonts w:ascii="Times New Roman" w:hAnsi="Times New Roman" w:cs="Times New Roman"/>
        </w:rPr>
        <w:t>e)</w:t>
      </w:r>
      <w:r w:rsidR="003956D4">
        <w:rPr>
          <w:rFonts w:ascii="Times New Roman" w:hAnsi="Times New Roman" w:cs="Times New Roman"/>
        </w:rPr>
        <w:t xml:space="preserve"> using </w:t>
      </w:r>
      <w:r w:rsidR="00AF0F90">
        <w:rPr>
          <w:rFonts w:ascii="Times New Roman" w:hAnsi="Times New Roman" w:cs="Times New Roman"/>
        </w:rPr>
        <w:t>100-year</w:t>
      </w:r>
      <w:r w:rsidR="003956D4">
        <w:rPr>
          <w:rFonts w:ascii="Times New Roman" w:hAnsi="Times New Roman" w:cs="Times New Roman"/>
        </w:rPr>
        <w:t xml:space="preserve"> global warming potentials (GWP)</w:t>
      </w:r>
      <w:r w:rsidR="00855610">
        <w:rPr>
          <w:rFonts w:ascii="Times New Roman" w:hAnsi="Times New Roman" w:cs="Times New Roman"/>
        </w:rPr>
        <w:t>.</w:t>
      </w:r>
      <w:r w:rsidR="00855610" w:rsidRPr="0005308D">
        <w:rPr>
          <w:rFonts w:ascii="Times New Roman" w:hAnsi="Times New Roman" w:cs="Times New Roman"/>
        </w:rPr>
        <w:t xml:space="preserve"> </w:t>
      </w:r>
      <w:r w:rsidR="001F728D">
        <w:rPr>
          <w:rFonts w:ascii="Times New Roman" w:hAnsi="Times New Roman" w:cs="Times New Roman"/>
        </w:rPr>
        <w:t xml:space="preserve"> </w:t>
      </w:r>
    </w:p>
    <w:p w14:paraId="60290CFD" w14:textId="17BAA267" w:rsidR="00CF30C4" w:rsidRDefault="00CF30C4" w:rsidP="001F3941">
      <w:pPr>
        <w:pStyle w:val="NoSpacing"/>
        <w:spacing w:line="360" w:lineRule="auto"/>
        <w:ind w:firstLine="720"/>
        <w:rPr>
          <w:rFonts w:ascii="Times New Roman" w:hAnsi="Times New Roman" w:cs="Times New Roman"/>
        </w:rPr>
      </w:pPr>
      <w:r w:rsidRPr="00EB5340">
        <w:rPr>
          <w:rFonts w:ascii="Times New Roman" w:hAnsi="Times New Roman" w:cs="Times New Roman"/>
        </w:rPr>
        <w:t>Th</w:t>
      </w:r>
      <w:r>
        <w:rPr>
          <w:rFonts w:ascii="Times New Roman" w:hAnsi="Times New Roman" w:cs="Times New Roman"/>
        </w:rPr>
        <w:t xml:space="preserve">e </w:t>
      </w:r>
      <w:r w:rsidRPr="7E078E2E">
        <w:rPr>
          <w:rFonts w:ascii="Times New Roman" w:hAnsi="Times New Roman" w:cs="Times New Roman"/>
          <w:i/>
          <w:iCs/>
        </w:rPr>
        <w:t>Carbon Budget</w:t>
      </w:r>
      <w:r w:rsidRPr="00EB5340">
        <w:rPr>
          <w:rFonts w:ascii="Times New Roman" w:hAnsi="Times New Roman" w:cs="Times New Roman"/>
        </w:rPr>
        <w:t xml:space="preserve"> </w:t>
      </w:r>
      <w:r>
        <w:rPr>
          <w:rFonts w:ascii="Times New Roman" w:hAnsi="Times New Roman" w:cs="Times New Roman"/>
        </w:rPr>
        <w:t xml:space="preserve">is distinct from the annual </w:t>
      </w:r>
      <w:r w:rsidRPr="7E078E2E">
        <w:rPr>
          <w:rFonts w:ascii="Times New Roman" w:hAnsi="Times New Roman" w:cs="Times New Roman"/>
          <w:i/>
          <w:iCs/>
        </w:rPr>
        <w:t>Vermont GHG Emission</w:t>
      </w:r>
      <w:r w:rsidR="00F3621B" w:rsidRPr="7E078E2E">
        <w:rPr>
          <w:rFonts w:ascii="Times New Roman" w:hAnsi="Times New Roman" w:cs="Times New Roman"/>
          <w:i/>
          <w:iCs/>
        </w:rPr>
        <w:t>s</w:t>
      </w:r>
      <w:r w:rsidRPr="7E078E2E">
        <w:rPr>
          <w:rFonts w:ascii="Times New Roman" w:hAnsi="Times New Roman" w:cs="Times New Roman"/>
          <w:i/>
          <w:iCs/>
        </w:rPr>
        <w:t xml:space="preserve"> Inventory</w:t>
      </w:r>
      <w:r w:rsidR="00F218DF" w:rsidRPr="7E078E2E">
        <w:rPr>
          <w:rFonts w:ascii="Times New Roman" w:hAnsi="Times New Roman" w:cs="Times New Roman"/>
          <w:i/>
          <w:iCs/>
        </w:rPr>
        <w:t xml:space="preserve"> and Forecast: 1990-2017</w:t>
      </w:r>
      <w:r w:rsidRPr="00EB5340">
        <w:rPr>
          <w:rFonts w:ascii="Times New Roman" w:hAnsi="Times New Roman" w:cs="Times New Roman"/>
        </w:rPr>
        <w:t xml:space="preserve"> by </w:t>
      </w:r>
      <w:r w:rsidR="00883875">
        <w:rPr>
          <w:rFonts w:ascii="Times New Roman" w:hAnsi="Times New Roman" w:cs="Times New Roman"/>
        </w:rPr>
        <w:t xml:space="preserve">the </w:t>
      </w:r>
      <w:r w:rsidR="00F218DF">
        <w:rPr>
          <w:rFonts w:ascii="Times New Roman" w:hAnsi="Times New Roman" w:cs="Times New Roman"/>
        </w:rPr>
        <w:t>Air Quality and Climate Division of the Vermont</w:t>
      </w:r>
      <w:r w:rsidR="00883875">
        <w:rPr>
          <w:rFonts w:ascii="Times New Roman" w:hAnsi="Times New Roman" w:cs="Times New Roman"/>
        </w:rPr>
        <w:t xml:space="preserve"> Department of Environmental Conservation</w:t>
      </w:r>
      <w:r w:rsidR="00883875">
        <w:rPr>
          <w:rStyle w:val="FootnoteReference"/>
          <w:rFonts w:ascii="Times New Roman" w:hAnsi="Times New Roman" w:cs="Times New Roman"/>
        </w:rPr>
        <w:footnoteReference w:id="5"/>
      </w:r>
      <w:r w:rsidR="004629FC">
        <w:rPr>
          <w:rFonts w:ascii="Times New Roman" w:hAnsi="Times New Roman" w:cs="Times New Roman"/>
        </w:rPr>
        <w:t xml:space="preserve"> that is</w:t>
      </w:r>
      <w:r>
        <w:rPr>
          <w:rFonts w:ascii="Times New Roman" w:hAnsi="Times New Roman" w:cs="Times New Roman"/>
        </w:rPr>
        <w:t xml:space="preserve"> used to </w:t>
      </w:r>
      <w:r w:rsidR="00110DA3">
        <w:rPr>
          <w:rFonts w:ascii="Times New Roman" w:hAnsi="Times New Roman" w:cs="Times New Roman"/>
        </w:rPr>
        <w:t xml:space="preserve">establish </w:t>
      </w:r>
      <w:r>
        <w:rPr>
          <w:rFonts w:ascii="Times New Roman" w:hAnsi="Times New Roman" w:cs="Times New Roman"/>
        </w:rPr>
        <w:t>state</w:t>
      </w:r>
      <w:r w:rsidR="004629FC">
        <w:rPr>
          <w:rFonts w:ascii="Times New Roman" w:hAnsi="Times New Roman" w:cs="Times New Roman"/>
        </w:rPr>
        <w:t>-level</w:t>
      </w:r>
      <w:r>
        <w:rPr>
          <w:rFonts w:ascii="Times New Roman" w:hAnsi="Times New Roman" w:cs="Times New Roman"/>
        </w:rPr>
        <w:t xml:space="preserve"> GHG emissions targets </w:t>
      </w:r>
      <w:r w:rsidR="00F3621B">
        <w:rPr>
          <w:rFonts w:ascii="Times New Roman" w:hAnsi="Times New Roman" w:cs="Times New Roman"/>
        </w:rPr>
        <w:t>outlined in</w:t>
      </w:r>
      <w:r>
        <w:rPr>
          <w:rFonts w:ascii="Times New Roman" w:hAnsi="Times New Roman" w:cs="Times New Roman"/>
        </w:rPr>
        <w:t xml:space="preserve"> the Global Warming Solutions Act</w:t>
      </w:r>
      <w:r w:rsidRPr="00EB5340">
        <w:rPr>
          <w:rFonts w:ascii="Times New Roman" w:hAnsi="Times New Roman" w:cs="Times New Roman"/>
        </w:rPr>
        <w:t>. The</w:t>
      </w:r>
      <w:r w:rsidR="001F728D">
        <w:rPr>
          <w:rFonts w:ascii="Times New Roman" w:hAnsi="Times New Roman" w:cs="Times New Roman"/>
        </w:rPr>
        <w:t xml:space="preserve"> </w:t>
      </w:r>
      <w:r w:rsidRPr="7E078E2E">
        <w:rPr>
          <w:rFonts w:ascii="Times New Roman" w:hAnsi="Times New Roman" w:cs="Times New Roman"/>
          <w:i/>
          <w:iCs/>
        </w:rPr>
        <w:t>GHG Emissions Inventory</w:t>
      </w:r>
      <w:r w:rsidRPr="00EB5340">
        <w:rPr>
          <w:rFonts w:ascii="Times New Roman" w:hAnsi="Times New Roman" w:cs="Times New Roman"/>
        </w:rPr>
        <w:t xml:space="preserve"> </w:t>
      </w:r>
      <w:r>
        <w:rPr>
          <w:rFonts w:ascii="Times New Roman" w:hAnsi="Times New Roman" w:cs="Times New Roman"/>
        </w:rPr>
        <w:t xml:space="preserve">includes </w:t>
      </w:r>
      <w:r w:rsidR="00F3621B">
        <w:rPr>
          <w:rFonts w:ascii="Times New Roman" w:hAnsi="Times New Roman" w:cs="Times New Roman"/>
        </w:rPr>
        <w:t xml:space="preserve">anthropogenic, fossil </w:t>
      </w:r>
      <w:r w:rsidR="004629FC">
        <w:rPr>
          <w:rFonts w:ascii="Times New Roman" w:hAnsi="Times New Roman" w:cs="Times New Roman"/>
        </w:rPr>
        <w:t>fuel-based</w:t>
      </w:r>
      <w:r w:rsidR="00F3621B">
        <w:rPr>
          <w:rFonts w:ascii="Times New Roman" w:hAnsi="Times New Roman" w:cs="Times New Roman"/>
        </w:rPr>
        <w:t xml:space="preserve"> </w:t>
      </w:r>
      <w:r>
        <w:rPr>
          <w:rFonts w:ascii="Times New Roman" w:hAnsi="Times New Roman" w:cs="Times New Roman"/>
        </w:rPr>
        <w:t>emissions and does not include the AFOLU sector, except for agricultural emissions</w:t>
      </w:r>
      <w:r w:rsidR="00705EEF">
        <w:rPr>
          <w:rStyle w:val="FootnoteReference"/>
          <w:rFonts w:ascii="Times New Roman" w:hAnsi="Times New Roman" w:cs="Times New Roman"/>
        </w:rPr>
        <w:footnoteReference w:id="6"/>
      </w:r>
      <w:r w:rsidR="002B1F78">
        <w:rPr>
          <w:rFonts w:ascii="Times New Roman" w:hAnsi="Times New Roman" w:cs="Times New Roman"/>
        </w:rPr>
        <w:t>.</w:t>
      </w:r>
      <w:r w:rsidR="00E02D52">
        <w:rPr>
          <w:rFonts w:ascii="Times New Roman" w:hAnsi="Times New Roman" w:cs="Times New Roman"/>
        </w:rPr>
        <w:t xml:space="preserve"> </w:t>
      </w:r>
      <w:r>
        <w:rPr>
          <w:rFonts w:ascii="Times New Roman" w:hAnsi="Times New Roman" w:cs="Times New Roman"/>
        </w:rPr>
        <w:t xml:space="preserve">In contrast, </w:t>
      </w:r>
      <w:r w:rsidR="00AD6DC4">
        <w:rPr>
          <w:rFonts w:ascii="Times New Roman" w:hAnsi="Times New Roman" w:cs="Times New Roman"/>
        </w:rPr>
        <w:t xml:space="preserve">the </w:t>
      </w:r>
      <w:r w:rsidRPr="7E078E2E">
        <w:rPr>
          <w:rFonts w:ascii="Times New Roman" w:hAnsi="Times New Roman" w:cs="Times New Roman"/>
          <w:i/>
          <w:iCs/>
        </w:rPr>
        <w:t>Carbon Budget</w:t>
      </w:r>
      <w:r>
        <w:rPr>
          <w:rFonts w:ascii="Times New Roman" w:hAnsi="Times New Roman" w:cs="Times New Roman"/>
        </w:rPr>
        <w:t xml:space="preserve"> focuses on </w:t>
      </w:r>
      <w:r w:rsidR="009E59C7">
        <w:rPr>
          <w:rFonts w:ascii="Times New Roman" w:hAnsi="Times New Roman" w:cs="Times New Roman"/>
        </w:rPr>
        <w:t>quantifying net</w:t>
      </w:r>
      <w:r w:rsidR="009C1662">
        <w:rPr>
          <w:rFonts w:ascii="Times New Roman" w:hAnsi="Times New Roman" w:cs="Times New Roman"/>
        </w:rPr>
        <w:t xml:space="preserve"> GHG</w:t>
      </w:r>
      <w:r w:rsidR="009E59C7">
        <w:rPr>
          <w:rFonts w:ascii="Times New Roman" w:hAnsi="Times New Roman" w:cs="Times New Roman"/>
        </w:rPr>
        <w:t xml:space="preserve"> emissions </w:t>
      </w:r>
      <w:r w:rsidR="009C1662">
        <w:rPr>
          <w:rFonts w:ascii="Times New Roman" w:hAnsi="Times New Roman" w:cs="Times New Roman"/>
        </w:rPr>
        <w:t xml:space="preserve">from </w:t>
      </w:r>
      <w:r w:rsidR="00EE162B">
        <w:rPr>
          <w:rFonts w:ascii="Times New Roman" w:hAnsi="Times New Roman" w:cs="Times New Roman"/>
        </w:rPr>
        <w:t xml:space="preserve">and </w:t>
      </w:r>
      <w:r w:rsidR="009C1662">
        <w:rPr>
          <w:rFonts w:ascii="Times New Roman" w:hAnsi="Times New Roman" w:cs="Times New Roman"/>
        </w:rPr>
        <w:t xml:space="preserve">carbon </w:t>
      </w:r>
      <w:r w:rsidR="00EE162B">
        <w:rPr>
          <w:rFonts w:ascii="Times New Roman" w:hAnsi="Times New Roman" w:cs="Times New Roman"/>
        </w:rPr>
        <w:t xml:space="preserve">storage </w:t>
      </w:r>
      <w:r w:rsidR="009C1662">
        <w:rPr>
          <w:rFonts w:ascii="Times New Roman" w:hAnsi="Times New Roman" w:cs="Times New Roman"/>
        </w:rPr>
        <w:t xml:space="preserve">in </w:t>
      </w:r>
      <w:r>
        <w:rPr>
          <w:rFonts w:ascii="Times New Roman" w:hAnsi="Times New Roman" w:cs="Times New Roman"/>
        </w:rPr>
        <w:t>the AFOLU sector</w:t>
      </w:r>
      <w:r w:rsidR="00D71DE3">
        <w:rPr>
          <w:rFonts w:ascii="Times New Roman" w:hAnsi="Times New Roman" w:cs="Times New Roman"/>
        </w:rPr>
        <w:t>.</w:t>
      </w:r>
      <w:r w:rsidR="00A10E49">
        <w:rPr>
          <w:rFonts w:ascii="Times New Roman" w:hAnsi="Times New Roman" w:cs="Times New Roman"/>
        </w:rPr>
        <w:t xml:space="preserve"> </w:t>
      </w:r>
      <w:r w:rsidR="008538DF">
        <w:rPr>
          <w:rFonts w:ascii="Times New Roman" w:hAnsi="Times New Roman" w:cs="Times New Roman"/>
        </w:rPr>
        <w:t>For context with</w:t>
      </w:r>
      <w:r w:rsidR="00BA595D">
        <w:rPr>
          <w:rFonts w:ascii="Times New Roman" w:hAnsi="Times New Roman" w:cs="Times New Roman"/>
        </w:rPr>
        <w:t xml:space="preserve"> statewide</w:t>
      </w:r>
      <w:r w:rsidR="00D76E49">
        <w:rPr>
          <w:rFonts w:ascii="Times New Roman" w:hAnsi="Times New Roman" w:cs="Times New Roman"/>
        </w:rPr>
        <w:t xml:space="preserve"> </w:t>
      </w:r>
      <w:r w:rsidR="008538DF">
        <w:rPr>
          <w:rFonts w:ascii="Times New Roman" w:hAnsi="Times New Roman" w:cs="Times New Roman"/>
        </w:rPr>
        <w:t>emissions, the</w:t>
      </w:r>
      <w:r w:rsidR="003F4746">
        <w:rPr>
          <w:rFonts w:ascii="Times New Roman" w:hAnsi="Times New Roman" w:cs="Times New Roman"/>
        </w:rPr>
        <w:t xml:space="preserve"> </w:t>
      </w:r>
      <w:r w:rsidR="003F4746" w:rsidRPr="7E078E2E">
        <w:rPr>
          <w:rFonts w:ascii="Times New Roman" w:hAnsi="Times New Roman" w:cs="Times New Roman"/>
          <w:i/>
          <w:iCs/>
        </w:rPr>
        <w:t>Carbon Budget</w:t>
      </w:r>
      <w:r w:rsidR="00BA595D">
        <w:rPr>
          <w:rFonts w:ascii="Times New Roman" w:hAnsi="Times New Roman" w:cs="Times New Roman"/>
        </w:rPr>
        <w:t xml:space="preserve"> </w:t>
      </w:r>
      <w:r w:rsidR="005C650A">
        <w:rPr>
          <w:rFonts w:ascii="Times New Roman" w:hAnsi="Times New Roman" w:cs="Times New Roman"/>
        </w:rPr>
        <w:t>presents the</w:t>
      </w:r>
      <w:r w:rsidR="1C9EA55A">
        <w:rPr>
          <w:rFonts w:ascii="Times New Roman" w:hAnsi="Times New Roman" w:cs="Times New Roman"/>
        </w:rPr>
        <w:t xml:space="preserve"> differen</w:t>
      </w:r>
      <w:r w:rsidR="7149C1AC">
        <w:rPr>
          <w:rFonts w:ascii="Times New Roman" w:hAnsi="Times New Roman" w:cs="Times New Roman"/>
        </w:rPr>
        <w:t>ce</w:t>
      </w:r>
      <w:r w:rsidR="00E4114E">
        <w:rPr>
          <w:rFonts w:ascii="Times New Roman" w:hAnsi="Times New Roman" w:cs="Times New Roman"/>
        </w:rPr>
        <w:t xml:space="preserve"> </w:t>
      </w:r>
      <w:r w:rsidR="00F900F8">
        <w:rPr>
          <w:rFonts w:ascii="Times New Roman" w:hAnsi="Times New Roman" w:cs="Times New Roman"/>
        </w:rPr>
        <w:t xml:space="preserve">between </w:t>
      </w:r>
      <w:r w:rsidR="002C6938">
        <w:rPr>
          <w:rFonts w:ascii="Times New Roman" w:hAnsi="Times New Roman" w:cs="Times New Roman"/>
        </w:rPr>
        <w:t xml:space="preserve">the </w:t>
      </w:r>
      <w:r w:rsidR="009E3CBF">
        <w:rPr>
          <w:rFonts w:ascii="Times New Roman" w:hAnsi="Times New Roman" w:cs="Times New Roman"/>
        </w:rPr>
        <w:t xml:space="preserve">net flux </w:t>
      </w:r>
      <w:r w:rsidR="2BB4BC10">
        <w:rPr>
          <w:rFonts w:ascii="Times New Roman" w:hAnsi="Times New Roman" w:cs="Times New Roman"/>
        </w:rPr>
        <w:t xml:space="preserve">of </w:t>
      </w:r>
      <w:r w:rsidR="00D71DE3">
        <w:rPr>
          <w:rFonts w:ascii="Times New Roman" w:hAnsi="Times New Roman" w:cs="Times New Roman"/>
        </w:rPr>
        <w:t>CO</w:t>
      </w:r>
      <w:r w:rsidR="00D71DE3" w:rsidRPr="00D71DE3">
        <w:rPr>
          <w:rFonts w:ascii="Times New Roman" w:hAnsi="Times New Roman" w:cs="Times New Roman"/>
          <w:vertAlign w:val="subscript"/>
        </w:rPr>
        <w:t>2</w:t>
      </w:r>
      <w:r w:rsidR="4FB102C8">
        <w:rPr>
          <w:rFonts w:ascii="Times New Roman" w:hAnsi="Times New Roman" w:cs="Times New Roman"/>
        </w:rPr>
        <w:t>e</w:t>
      </w:r>
      <w:r w:rsidR="00D71DE3">
        <w:rPr>
          <w:rFonts w:ascii="Times New Roman" w:hAnsi="Times New Roman" w:cs="Times New Roman"/>
        </w:rPr>
        <w:t xml:space="preserve"> taken in by the AF</w:t>
      </w:r>
      <w:r w:rsidR="002B3AE6">
        <w:rPr>
          <w:rFonts w:ascii="Times New Roman" w:hAnsi="Times New Roman" w:cs="Times New Roman"/>
        </w:rPr>
        <w:t xml:space="preserve">OLU sector </w:t>
      </w:r>
      <w:r w:rsidR="002C6938">
        <w:rPr>
          <w:rFonts w:ascii="Times New Roman" w:hAnsi="Times New Roman" w:cs="Times New Roman"/>
        </w:rPr>
        <w:t xml:space="preserve">and the </w:t>
      </w:r>
      <w:r w:rsidR="00D71DE3">
        <w:rPr>
          <w:rFonts w:ascii="Times New Roman" w:hAnsi="Times New Roman" w:cs="Times New Roman"/>
        </w:rPr>
        <w:t>amount of CO</w:t>
      </w:r>
      <w:r w:rsidR="00D71DE3" w:rsidRPr="00D71DE3">
        <w:rPr>
          <w:rFonts w:ascii="Times New Roman" w:hAnsi="Times New Roman" w:cs="Times New Roman"/>
          <w:vertAlign w:val="subscript"/>
        </w:rPr>
        <w:t>2</w:t>
      </w:r>
      <w:r w:rsidR="0742CA2E">
        <w:rPr>
          <w:rFonts w:ascii="Times New Roman" w:hAnsi="Times New Roman" w:cs="Times New Roman"/>
        </w:rPr>
        <w:t xml:space="preserve">e </w:t>
      </w:r>
      <w:r w:rsidR="00D71DE3">
        <w:rPr>
          <w:rFonts w:ascii="Times New Roman" w:hAnsi="Times New Roman" w:cs="Times New Roman"/>
        </w:rPr>
        <w:t xml:space="preserve">emitted according to </w:t>
      </w:r>
      <w:r w:rsidR="112E98AB">
        <w:rPr>
          <w:rFonts w:ascii="Times New Roman" w:hAnsi="Times New Roman" w:cs="Times New Roman"/>
        </w:rPr>
        <w:t xml:space="preserve">the </w:t>
      </w:r>
      <w:r w:rsidR="002C6938" w:rsidRPr="7E078E2E">
        <w:rPr>
          <w:rFonts w:ascii="Times New Roman" w:hAnsi="Times New Roman" w:cs="Times New Roman"/>
          <w:i/>
          <w:iCs/>
        </w:rPr>
        <w:t>GHG Emissions Inventory</w:t>
      </w:r>
      <w:r w:rsidR="005C650A" w:rsidRPr="00955463">
        <w:rPr>
          <w:rFonts w:ascii="Times New Roman" w:hAnsi="Times New Roman" w:cs="Times New Roman"/>
        </w:rPr>
        <w:t>,</w:t>
      </w:r>
      <w:r w:rsidR="00955463" w:rsidRPr="00955463">
        <w:rPr>
          <w:rFonts w:ascii="Times New Roman" w:hAnsi="Times New Roman" w:cs="Times New Roman"/>
        </w:rPr>
        <w:t xml:space="preserve"> in other words,</w:t>
      </w:r>
      <w:r w:rsidR="00E4114E">
        <w:rPr>
          <w:rFonts w:ascii="Times New Roman" w:hAnsi="Times New Roman" w:cs="Times New Roman"/>
        </w:rPr>
        <w:t xml:space="preserve"> the </w:t>
      </w:r>
      <w:r w:rsidR="00733EF8">
        <w:rPr>
          <w:rFonts w:ascii="Times New Roman" w:hAnsi="Times New Roman" w:cs="Times New Roman"/>
        </w:rPr>
        <w:t>approximate</w:t>
      </w:r>
      <w:r w:rsidR="00E4114E">
        <w:rPr>
          <w:rFonts w:ascii="Times New Roman" w:hAnsi="Times New Roman" w:cs="Times New Roman"/>
        </w:rPr>
        <w:t xml:space="preserve"> amount of </w:t>
      </w:r>
      <w:r w:rsidR="00733EF8">
        <w:rPr>
          <w:rFonts w:ascii="Times New Roman" w:hAnsi="Times New Roman" w:cs="Times New Roman"/>
        </w:rPr>
        <w:t>anthropogenic</w:t>
      </w:r>
      <w:r w:rsidR="00E4114E">
        <w:rPr>
          <w:rFonts w:ascii="Times New Roman" w:hAnsi="Times New Roman" w:cs="Times New Roman"/>
        </w:rPr>
        <w:t xml:space="preserve"> GHG emissions that remain in the atmosphere</w:t>
      </w:r>
      <w:r w:rsidR="00115468">
        <w:rPr>
          <w:rFonts w:ascii="Times New Roman" w:hAnsi="Times New Roman" w:cs="Times New Roman"/>
        </w:rPr>
        <w:t xml:space="preserve"> </w:t>
      </w:r>
      <w:r w:rsidR="00955463">
        <w:rPr>
          <w:rFonts w:ascii="Times New Roman" w:hAnsi="Times New Roman" w:cs="Times New Roman"/>
        </w:rPr>
        <w:t>(</w:t>
      </w:r>
      <w:r w:rsidR="009C1662">
        <w:rPr>
          <w:rFonts w:ascii="Times New Roman" w:hAnsi="Times New Roman" w:cs="Times New Roman"/>
        </w:rPr>
        <w:t>i.e.,</w:t>
      </w:r>
      <w:r w:rsidR="001F3941">
        <w:rPr>
          <w:rFonts w:ascii="Times New Roman" w:hAnsi="Times New Roman" w:cs="Times New Roman"/>
        </w:rPr>
        <w:t xml:space="preserve"> </w:t>
      </w:r>
      <w:r w:rsidR="00DB7239">
        <w:rPr>
          <w:rFonts w:ascii="Times New Roman" w:hAnsi="Times New Roman" w:cs="Times New Roman"/>
        </w:rPr>
        <w:t>Vermont’s</w:t>
      </w:r>
      <w:r w:rsidR="00595361">
        <w:rPr>
          <w:rFonts w:ascii="Times New Roman" w:hAnsi="Times New Roman" w:cs="Times New Roman"/>
        </w:rPr>
        <w:t xml:space="preserve"> net emissions</w:t>
      </w:r>
      <w:r w:rsidR="00955463">
        <w:rPr>
          <w:rFonts w:ascii="Times New Roman" w:hAnsi="Times New Roman" w:cs="Times New Roman"/>
        </w:rPr>
        <w:t>)</w:t>
      </w:r>
      <w:r w:rsidR="448E0C93">
        <w:rPr>
          <w:rFonts w:ascii="Times New Roman" w:hAnsi="Times New Roman" w:cs="Times New Roman"/>
        </w:rPr>
        <w:t>.</w:t>
      </w:r>
      <w:r w:rsidR="00595361">
        <w:rPr>
          <w:rFonts w:ascii="Times New Roman" w:hAnsi="Times New Roman" w:cs="Times New Roman"/>
        </w:rPr>
        <w:t xml:space="preserve"> </w:t>
      </w:r>
      <w:r w:rsidR="00CC6B38">
        <w:rPr>
          <w:rFonts w:ascii="Times New Roman" w:hAnsi="Times New Roman" w:cs="Times New Roman"/>
        </w:rPr>
        <w:t xml:space="preserve">The </w:t>
      </w:r>
      <w:r w:rsidR="00115468">
        <w:rPr>
          <w:rFonts w:ascii="Times New Roman" w:hAnsi="Times New Roman" w:cs="Times New Roman"/>
        </w:rPr>
        <w:t>Global Warming Solutions Act</w:t>
      </w:r>
      <w:r w:rsidR="00A00AAE">
        <w:rPr>
          <w:rFonts w:ascii="Times New Roman" w:hAnsi="Times New Roman" w:cs="Times New Roman"/>
        </w:rPr>
        <w:t xml:space="preserve"> </w:t>
      </w:r>
      <w:r w:rsidR="00F1654E">
        <w:rPr>
          <w:rFonts w:ascii="Times New Roman" w:hAnsi="Times New Roman" w:cs="Times New Roman"/>
        </w:rPr>
        <w:t>includes a goal</w:t>
      </w:r>
      <w:r w:rsidR="00733EF8">
        <w:rPr>
          <w:rFonts w:ascii="Times New Roman" w:hAnsi="Times New Roman" w:cs="Times New Roman"/>
        </w:rPr>
        <w:t xml:space="preserve"> </w:t>
      </w:r>
      <w:r w:rsidR="00F1654E">
        <w:rPr>
          <w:rFonts w:ascii="Times New Roman" w:hAnsi="Times New Roman" w:cs="Times New Roman"/>
        </w:rPr>
        <w:t>of n</w:t>
      </w:r>
      <w:r w:rsidR="00733EF8">
        <w:rPr>
          <w:rFonts w:ascii="Times New Roman" w:hAnsi="Times New Roman" w:cs="Times New Roman"/>
        </w:rPr>
        <w:t xml:space="preserve">et </w:t>
      </w:r>
      <w:r w:rsidR="00F1654E">
        <w:rPr>
          <w:rFonts w:ascii="Times New Roman" w:hAnsi="Times New Roman" w:cs="Times New Roman"/>
        </w:rPr>
        <w:t>z</w:t>
      </w:r>
      <w:r w:rsidR="00733EF8">
        <w:rPr>
          <w:rFonts w:ascii="Times New Roman" w:hAnsi="Times New Roman" w:cs="Times New Roman"/>
        </w:rPr>
        <w:t xml:space="preserve">ero emissions by </w:t>
      </w:r>
      <w:r w:rsidR="00DB7239">
        <w:rPr>
          <w:rFonts w:ascii="Times New Roman" w:hAnsi="Times New Roman" w:cs="Times New Roman"/>
        </w:rPr>
        <w:t>2050 but</w:t>
      </w:r>
      <w:r w:rsidR="00F1654E">
        <w:rPr>
          <w:rFonts w:ascii="Times New Roman" w:hAnsi="Times New Roman" w:cs="Times New Roman"/>
        </w:rPr>
        <w:t xml:space="preserve"> does not outline wh</w:t>
      </w:r>
      <w:r w:rsidR="00A00D49">
        <w:rPr>
          <w:rFonts w:ascii="Times New Roman" w:hAnsi="Times New Roman" w:cs="Times New Roman"/>
        </w:rPr>
        <w:t>ich</w:t>
      </w:r>
      <w:r w:rsidR="00F1654E">
        <w:rPr>
          <w:rFonts w:ascii="Times New Roman" w:hAnsi="Times New Roman" w:cs="Times New Roman"/>
        </w:rPr>
        <w:t xml:space="preserve"> sectors should be included and how to quantify</w:t>
      </w:r>
      <w:r w:rsidR="00A00D49">
        <w:rPr>
          <w:rFonts w:ascii="Times New Roman" w:hAnsi="Times New Roman" w:cs="Times New Roman"/>
        </w:rPr>
        <w:t xml:space="preserve"> fluxes</w:t>
      </w:r>
      <w:r w:rsidR="00733EF8">
        <w:rPr>
          <w:rFonts w:ascii="Times New Roman" w:hAnsi="Times New Roman" w:cs="Times New Roman"/>
        </w:rPr>
        <w:t>.</w:t>
      </w:r>
      <w:r>
        <w:rPr>
          <w:rFonts w:ascii="Times New Roman" w:hAnsi="Times New Roman" w:cs="Times New Roman"/>
        </w:rPr>
        <w:t xml:space="preserve"> </w:t>
      </w:r>
      <w:r w:rsidR="00D170DD">
        <w:rPr>
          <w:rFonts w:ascii="Times New Roman" w:hAnsi="Times New Roman" w:cs="Times New Roman"/>
        </w:rPr>
        <w:t xml:space="preserve">The </w:t>
      </w:r>
      <w:r w:rsidR="00D170DD" w:rsidRPr="7E078E2E">
        <w:rPr>
          <w:rFonts w:ascii="Times New Roman" w:hAnsi="Times New Roman" w:cs="Times New Roman"/>
          <w:i/>
          <w:iCs/>
        </w:rPr>
        <w:t>Carbon Budget</w:t>
      </w:r>
      <w:r w:rsidR="00D170DD">
        <w:rPr>
          <w:rFonts w:ascii="Times New Roman" w:hAnsi="Times New Roman" w:cs="Times New Roman"/>
        </w:rPr>
        <w:t xml:space="preserve"> </w:t>
      </w:r>
      <w:r w:rsidR="00D170DD" w:rsidRPr="002C06CB">
        <w:rPr>
          <w:rFonts w:ascii="Times New Roman" w:hAnsi="Times New Roman" w:cs="Times New Roman"/>
        </w:rPr>
        <w:t>provid</w:t>
      </w:r>
      <w:r w:rsidR="00D170DD">
        <w:rPr>
          <w:rFonts w:ascii="Times New Roman" w:hAnsi="Times New Roman" w:cs="Times New Roman"/>
        </w:rPr>
        <w:t>es</w:t>
      </w:r>
      <w:r w:rsidR="00D170DD" w:rsidRPr="002C06CB">
        <w:rPr>
          <w:rFonts w:ascii="Times New Roman" w:hAnsi="Times New Roman" w:cs="Times New Roman"/>
        </w:rPr>
        <w:t xml:space="preserve"> a cursory framework for accounting and by elevating questions for further research and analysis</w:t>
      </w:r>
      <w:r w:rsidR="00F25828">
        <w:rPr>
          <w:rFonts w:ascii="Times New Roman" w:hAnsi="Times New Roman" w:cs="Times New Roman"/>
        </w:rPr>
        <w:t xml:space="preserve"> </w:t>
      </w:r>
      <w:r w:rsidR="0947FF6A" w:rsidRPr="002C06CB">
        <w:rPr>
          <w:rFonts w:ascii="Times New Roman" w:hAnsi="Times New Roman" w:cs="Times New Roman"/>
        </w:rPr>
        <w:t>such as</w:t>
      </w:r>
      <w:r w:rsidR="00F25828">
        <w:rPr>
          <w:rFonts w:ascii="Times New Roman" w:hAnsi="Times New Roman" w:cs="Times New Roman"/>
        </w:rPr>
        <w:t>: which</w:t>
      </w:r>
      <w:r w:rsidR="00D170DD" w:rsidRPr="002C06CB">
        <w:rPr>
          <w:rFonts w:ascii="Times New Roman" w:hAnsi="Times New Roman" w:cs="Times New Roman"/>
        </w:rPr>
        <w:t xml:space="preserve"> land use sectors and standards should be included in the net calculation? </w:t>
      </w:r>
      <w:r w:rsidR="009C1662" w:rsidRPr="002C06CB">
        <w:rPr>
          <w:rFonts w:ascii="Times New Roman" w:hAnsi="Times New Roman" w:cs="Times New Roman"/>
        </w:rPr>
        <w:t>What are the current available data sources and what are their respective limitations?</w:t>
      </w:r>
      <w:r w:rsidR="009C1662">
        <w:rPr>
          <w:rFonts w:ascii="Times New Roman" w:hAnsi="Times New Roman" w:cs="Times New Roman"/>
        </w:rPr>
        <w:t xml:space="preserve"> </w:t>
      </w:r>
      <w:r w:rsidR="00D170DD">
        <w:rPr>
          <w:rFonts w:ascii="Times New Roman" w:hAnsi="Times New Roman" w:cs="Times New Roman"/>
        </w:rPr>
        <w:t>How can</w:t>
      </w:r>
      <w:r w:rsidR="00D170DD" w:rsidRPr="002C06CB">
        <w:rPr>
          <w:rFonts w:ascii="Times New Roman" w:hAnsi="Times New Roman" w:cs="Times New Roman"/>
        </w:rPr>
        <w:t xml:space="preserve"> we accurately measur</w:t>
      </w:r>
      <w:r w:rsidR="00D170DD">
        <w:rPr>
          <w:rFonts w:ascii="Times New Roman" w:hAnsi="Times New Roman" w:cs="Times New Roman"/>
        </w:rPr>
        <w:t>e</w:t>
      </w:r>
      <w:r w:rsidR="00D170DD" w:rsidRPr="002C06CB">
        <w:rPr>
          <w:rFonts w:ascii="Times New Roman" w:hAnsi="Times New Roman" w:cs="Times New Roman"/>
        </w:rPr>
        <w:t xml:space="preserve"> all</w:t>
      </w:r>
      <w:r w:rsidR="00F25828">
        <w:rPr>
          <w:rFonts w:ascii="Times New Roman" w:hAnsi="Times New Roman" w:cs="Times New Roman"/>
        </w:rPr>
        <w:t xml:space="preserve"> fluxes on an annual basis</w:t>
      </w:r>
      <w:r w:rsidR="00D170DD" w:rsidRPr="002C06CB">
        <w:rPr>
          <w:rFonts w:ascii="Times New Roman" w:hAnsi="Times New Roman" w:cs="Times New Roman"/>
        </w:rPr>
        <w:t xml:space="preserve">? </w:t>
      </w:r>
    </w:p>
    <w:p w14:paraId="74B86589" w14:textId="555EC0C6" w:rsidR="0005308D" w:rsidRPr="0005308D" w:rsidRDefault="0005308D" w:rsidP="00550BE7">
      <w:pPr>
        <w:pStyle w:val="NoSpacing"/>
        <w:spacing w:line="360" w:lineRule="auto"/>
        <w:rPr>
          <w:rFonts w:ascii="Times New Roman" w:hAnsi="Times New Roman" w:cs="Times New Roman"/>
        </w:rPr>
      </w:pPr>
    </w:p>
    <w:p w14:paraId="5B8C6C51" w14:textId="37494C67" w:rsidR="0005308D" w:rsidRPr="00B65564" w:rsidRDefault="00B65564" w:rsidP="00550BE7">
      <w:pPr>
        <w:pStyle w:val="NoSpacing"/>
        <w:spacing w:line="360" w:lineRule="auto"/>
        <w:rPr>
          <w:rFonts w:ascii="Times New Roman" w:hAnsi="Times New Roman" w:cs="Times New Roman"/>
          <w:b/>
          <w:bCs/>
          <w:sz w:val="28"/>
          <w:szCs w:val="24"/>
        </w:rPr>
      </w:pPr>
      <w:r>
        <w:rPr>
          <w:rFonts w:ascii="Times New Roman" w:hAnsi="Times New Roman" w:cs="Times New Roman"/>
          <w:b/>
          <w:bCs/>
          <w:sz w:val="28"/>
          <w:szCs w:val="24"/>
        </w:rPr>
        <w:t>Findings</w:t>
      </w:r>
    </w:p>
    <w:p w14:paraId="7B662D97" w14:textId="54E92DE8" w:rsidR="00ED55F2" w:rsidRPr="0005308D" w:rsidRDefault="009B4998" w:rsidP="003224E7">
      <w:pPr>
        <w:pStyle w:val="NoSpacing"/>
        <w:spacing w:line="360" w:lineRule="auto"/>
        <w:ind w:firstLine="720"/>
        <w:rPr>
          <w:rFonts w:ascii="Times New Roman" w:hAnsi="Times New Roman" w:cs="Times New Roman"/>
        </w:rPr>
      </w:pPr>
      <w:r w:rsidRPr="009B4998">
        <w:rPr>
          <w:rFonts w:ascii="Times New Roman" w:hAnsi="Times New Roman" w:cs="Times New Roman"/>
        </w:rPr>
        <w:t xml:space="preserve">The </w:t>
      </w:r>
      <w:r w:rsidR="00253836" w:rsidRPr="00B21E78">
        <w:rPr>
          <w:rFonts w:ascii="Times New Roman" w:hAnsi="Times New Roman" w:cs="Times New Roman"/>
          <w:i/>
          <w:iCs/>
        </w:rPr>
        <w:t>Carbon Budget</w:t>
      </w:r>
      <w:r w:rsidR="00253836" w:rsidRPr="009B4998">
        <w:rPr>
          <w:rFonts w:ascii="Times New Roman" w:hAnsi="Times New Roman" w:cs="Times New Roman"/>
        </w:rPr>
        <w:t xml:space="preserve"> </w:t>
      </w:r>
      <w:r w:rsidRPr="009B4998">
        <w:rPr>
          <w:rFonts w:ascii="Times New Roman" w:hAnsi="Times New Roman" w:cs="Times New Roman"/>
        </w:rPr>
        <w:t xml:space="preserve">estimates that the annual net GHG balance for </w:t>
      </w:r>
      <w:r w:rsidR="00253836">
        <w:rPr>
          <w:rFonts w:ascii="Times New Roman" w:hAnsi="Times New Roman" w:cs="Times New Roman"/>
        </w:rPr>
        <w:t xml:space="preserve">the </w:t>
      </w:r>
      <w:r w:rsidRPr="009B4998">
        <w:rPr>
          <w:rFonts w:ascii="Times New Roman" w:hAnsi="Times New Roman" w:cs="Times New Roman"/>
        </w:rPr>
        <w:t xml:space="preserve">AFOLU </w:t>
      </w:r>
      <w:r w:rsidR="00253836">
        <w:rPr>
          <w:rFonts w:ascii="Times New Roman" w:hAnsi="Times New Roman" w:cs="Times New Roman"/>
        </w:rPr>
        <w:t xml:space="preserve">sector </w:t>
      </w:r>
      <w:r w:rsidRPr="009B4998">
        <w:rPr>
          <w:rFonts w:ascii="Times New Roman" w:hAnsi="Times New Roman" w:cs="Times New Roman"/>
        </w:rPr>
        <w:t>is</w:t>
      </w:r>
      <w:commentRangeStart w:id="0"/>
      <w:r w:rsidRPr="009B4998">
        <w:rPr>
          <w:rFonts w:ascii="Times New Roman" w:hAnsi="Times New Roman" w:cs="Times New Roman"/>
        </w:rPr>
        <w:t xml:space="preserve"> -</w:t>
      </w:r>
      <w:commentRangeEnd w:id="0"/>
      <w:r w:rsidR="00B5532D">
        <w:rPr>
          <w:rStyle w:val="CommentReference"/>
          <w:rFonts w:ascii="Cambria" w:hAnsi="Cambria" w:cs="Cambria"/>
        </w:rPr>
        <w:commentReference w:id="0"/>
      </w:r>
      <w:r w:rsidRPr="009B4998">
        <w:rPr>
          <w:rFonts w:ascii="Times New Roman" w:hAnsi="Times New Roman" w:cs="Times New Roman"/>
        </w:rPr>
        <w:t xml:space="preserve">2.95 </w:t>
      </w:r>
      <w:r w:rsidR="00253836">
        <w:rPr>
          <w:rFonts w:ascii="Times New Roman" w:hAnsi="Times New Roman" w:cs="Times New Roman"/>
        </w:rPr>
        <w:t>million metric tons (</w:t>
      </w:r>
      <w:r w:rsidRPr="009B4998">
        <w:rPr>
          <w:rFonts w:ascii="Times New Roman" w:hAnsi="Times New Roman" w:cs="Times New Roman"/>
        </w:rPr>
        <w:t>MMT</w:t>
      </w:r>
      <w:r w:rsidR="00253836">
        <w:rPr>
          <w:rFonts w:ascii="Times New Roman" w:hAnsi="Times New Roman" w:cs="Times New Roman"/>
        </w:rPr>
        <w:t>)</w:t>
      </w:r>
      <w:r w:rsidR="00F34F14">
        <w:rPr>
          <w:rStyle w:val="FootnoteReference"/>
          <w:rFonts w:ascii="Times New Roman" w:hAnsi="Times New Roman" w:cs="Times New Roman"/>
        </w:rPr>
        <w:footnoteReference w:id="7"/>
      </w:r>
      <w:r w:rsidRPr="009B4998">
        <w:rPr>
          <w:rFonts w:ascii="Times New Roman" w:hAnsi="Times New Roman" w:cs="Times New Roman"/>
        </w:rPr>
        <w:t xml:space="preserve"> CO</w:t>
      </w:r>
      <w:r w:rsidRPr="001C3F49">
        <w:rPr>
          <w:rFonts w:ascii="Times New Roman" w:hAnsi="Times New Roman" w:cs="Times New Roman"/>
          <w:vertAlign w:val="subscript"/>
        </w:rPr>
        <w:t>2</w:t>
      </w:r>
      <w:r w:rsidRPr="009B4998">
        <w:rPr>
          <w:rFonts w:ascii="Times New Roman" w:hAnsi="Times New Roman" w:cs="Times New Roman"/>
        </w:rPr>
        <w:t xml:space="preserve">e </w:t>
      </w:r>
      <w:r w:rsidR="001C3F49">
        <w:rPr>
          <w:rFonts w:ascii="Times New Roman" w:hAnsi="Times New Roman" w:cs="Times New Roman"/>
        </w:rPr>
        <w:t>for the most recent year of data (2020, 2018 for forests</w:t>
      </w:r>
      <w:r w:rsidR="00236282">
        <w:rPr>
          <w:rFonts w:ascii="Times New Roman" w:hAnsi="Times New Roman" w:cs="Times New Roman"/>
        </w:rPr>
        <w:t xml:space="preserve">; </w:t>
      </w:r>
      <w:r w:rsidR="00236282" w:rsidRPr="00236282">
        <w:rPr>
          <w:rFonts w:ascii="Times New Roman" w:hAnsi="Times New Roman" w:cs="Times New Roman"/>
        </w:rPr>
        <w:t xml:space="preserve">see </w:t>
      </w:r>
      <w:r w:rsidR="00236282" w:rsidRPr="00236282">
        <w:rPr>
          <w:rFonts w:ascii="Times New Roman" w:hAnsi="Times New Roman" w:cs="Times New Roman"/>
        </w:rPr>
        <w:fldChar w:fldCharType="begin"/>
      </w:r>
      <w:r w:rsidR="00236282" w:rsidRPr="00236282">
        <w:rPr>
          <w:rFonts w:ascii="Times New Roman" w:hAnsi="Times New Roman" w:cs="Times New Roman"/>
        </w:rPr>
        <w:instrText xml:space="preserve"> REF _Ref87528132 \h  \* MERGEFORMAT </w:instrText>
      </w:r>
      <w:r w:rsidR="00236282" w:rsidRPr="00236282">
        <w:rPr>
          <w:rFonts w:ascii="Times New Roman" w:hAnsi="Times New Roman" w:cs="Times New Roman"/>
        </w:rPr>
      </w:r>
      <w:r w:rsidR="00236282" w:rsidRPr="00236282">
        <w:rPr>
          <w:rFonts w:ascii="Times New Roman" w:hAnsi="Times New Roman" w:cs="Times New Roman"/>
        </w:rPr>
        <w:fldChar w:fldCharType="separate"/>
      </w:r>
      <w:r w:rsidR="00236282" w:rsidRPr="00236282">
        <w:rPr>
          <w:rFonts w:ascii="Times New Roman" w:hAnsi="Times New Roman" w:cs="Times New Roman"/>
        </w:rPr>
        <w:t xml:space="preserve">Table </w:t>
      </w:r>
      <w:r w:rsidR="00236282" w:rsidRPr="00236282">
        <w:rPr>
          <w:rFonts w:ascii="Times New Roman" w:hAnsi="Times New Roman" w:cs="Times New Roman"/>
          <w:noProof/>
        </w:rPr>
        <w:t>1</w:t>
      </w:r>
      <w:r w:rsidR="00236282" w:rsidRPr="00236282">
        <w:rPr>
          <w:rFonts w:ascii="Times New Roman" w:hAnsi="Times New Roman" w:cs="Times New Roman"/>
        </w:rPr>
        <w:fldChar w:fldCharType="end"/>
      </w:r>
      <w:r w:rsidR="001C3F49" w:rsidRPr="00236282">
        <w:rPr>
          <w:rFonts w:ascii="Times New Roman" w:hAnsi="Times New Roman" w:cs="Times New Roman"/>
        </w:rPr>
        <w:t>)</w:t>
      </w:r>
      <w:r w:rsidR="00594452" w:rsidRPr="00236282">
        <w:rPr>
          <w:rFonts w:ascii="Times New Roman" w:hAnsi="Times New Roman" w:cs="Times New Roman"/>
        </w:rPr>
        <w:t>, in</w:t>
      </w:r>
      <w:r w:rsidR="00594452">
        <w:rPr>
          <w:rFonts w:ascii="Times New Roman" w:hAnsi="Times New Roman" w:cs="Times New Roman"/>
        </w:rPr>
        <w:t xml:space="preserve"> other words, the AFOLU sector is a net carbon sink</w:t>
      </w:r>
      <w:r w:rsidRPr="009B4998">
        <w:rPr>
          <w:rFonts w:ascii="Times New Roman" w:hAnsi="Times New Roman" w:cs="Times New Roman"/>
        </w:rPr>
        <w:t xml:space="preserve">. </w:t>
      </w:r>
      <w:r w:rsidR="00594452">
        <w:rPr>
          <w:rFonts w:ascii="Times New Roman" w:hAnsi="Times New Roman" w:cs="Times New Roman"/>
        </w:rPr>
        <w:t xml:space="preserve">However, some sub-sectors </w:t>
      </w:r>
      <w:r w:rsidR="00EB45C2">
        <w:rPr>
          <w:rFonts w:ascii="Times New Roman" w:hAnsi="Times New Roman" w:cs="Times New Roman"/>
        </w:rPr>
        <w:t xml:space="preserve">are a </w:t>
      </w:r>
      <w:r w:rsidR="007D6163">
        <w:rPr>
          <w:rFonts w:ascii="Times New Roman" w:hAnsi="Times New Roman" w:cs="Times New Roman"/>
        </w:rPr>
        <w:t xml:space="preserve">net </w:t>
      </w:r>
      <w:r w:rsidR="00EB45C2">
        <w:rPr>
          <w:rFonts w:ascii="Times New Roman" w:hAnsi="Times New Roman" w:cs="Times New Roman"/>
        </w:rPr>
        <w:t>source of emissions, namely</w:t>
      </w:r>
      <w:r w:rsidRPr="009B4998">
        <w:rPr>
          <w:rFonts w:ascii="Times New Roman" w:hAnsi="Times New Roman" w:cs="Times New Roman"/>
        </w:rPr>
        <w:t xml:space="preserve"> agriculture (</w:t>
      </w:r>
      <w:r w:rsidR="00F34F14">
        <w:rPr>
          <w:rFonts w:ascii="Times New Roman" w:hAnsi="Times New Roman" w:cs="Times New Roman"/>
        </w:rPr>
        <w:t>+</w:t>
      </w:r>
      <w:r w:rsidRPr="009B4998">
        <w:rPr>
          <w:rFonts w:ascii="Times New Roman" w:hAnsi="Times New Roman" w:cs="Times New Roman"/>
        </w:rPr>
        <w:t>0.49 MMT CO</w:t>
      </w:r>
      <w:r w:rsidRPr="00F02477">
        <w:rPr>
          <w:rFonts w:ascii="Times New Roman" w:hAnsi="Times New Roman" w:cs="Times New Roman"/>
          <w:vertAlign w:val="subscript"/>
        </w:rPr>
        <w:t>2</w:t>
      </w:r>
      <w:r w:rsidRPr="009B4998">
        <w:rPr>
          <w:rFonts w:ascii="Times New Roman" w:hAnsi="Times New Roman" w:cs="Times New Roman"/>
        </w:rPr>
        <w:t>e in 2020), followed by grasslands and shrublands (</w:t>
      </w:r>
      <w:r w:rsidR="00A360AC">
        <w:rPr>
          <w:rFonts w:ascii="Times New Roman" w:hAnsi="Times New Roman" w:cs="Times New Roman"/>
        </w:rPr>
        <w:t>+</w:t>
      </w:r>
      <w:r w:rsidRPr="009B4998">
        <w:rPr>
          <w:rFonts w:ascii="Times New Roman" w:hAnsi="Times New Roman" w:cs="Times New Roman"/>
        </w:rPr>
        <w:t>0.05 MMT CO</w:t>
      </w:r>
      <w:r w:rsidRPr="00F02477">
        <w:rPr>
          <w:rFonts w:ascii="Times New Roman" w:hAnsi="Times New Roman" w:cs="Times New Roman"/>
          <w:vertAlign w:val="subscript"/>
        </w:rPr>
        <w:t>2</w:t>
      </w:r>
      <w:r w:rsidRPr="009B4998">
        <w:rPr>
          <w:rFonts w:ascii="Times New Roman" w:hAnsi="Times New Roman" w:cs="Times New Roman"/>
        </w:rPr>
        <w:t xml:space="preserve">e in 2020). </w:t>
      </w:r>
      <w:r w:rsidR="00A360AC">
        <w:rPr>
          <w:rFonts w:ascii="Times New Roman" w:hAnsi="Times New Roman" w:cs="Times New Roman"/>
        </w:rPr>
        <w:t>The other t</w:t>
      </w:r>
      <w:r w:rsidRPr="009B4998">
        <w:rPr>
          <w:rFonts w:ascii="Times New Roman" w:hAnsi="Times New Roman" w:cs="Times New Roman"/>
        </w:rPr>
        <w:t xml:space="preserve">hree AFOLU sectors account </w:t>
      </w:r>
      <w:r w:rsidRPr="009B4998">
        <w:rPr>
          <w:rFonts w:ascii="Times New Roman" w:hAnsi="Times New Roman" w:cs="Times New Roman"/>
        </w:rPr>
        <w:lastRenderedPageBreak/>
        <w:t>for net sequestration: forest</w:t>
      </w:r>
      <w:r w:rsidR="00B60332">
        <w:rPr>
          <w:rFonts w:ascii="Times New Roman" w:hAnsi="Times New Roman" w:cs="Times New Roman"/>
        </w:rPr>
        <w:t xml:space="preserve"> sector</w:t>
      </w:r>
      <w:r w:rsidRPr="009B4998">
        <w:rPr>
          <w:rFonts w:ascii="Times New Roman" w:hAnsi="Times New Roman" w:cs="Times New Roman"/>
        </w:rPr>
        <w:t xml:space="preserve"> (-3.2</w:t>
      </w:r>
      <w:r w:rsidR="00B60332">
        <w:rPr>
          <w:rFonts w:ascii="Times New Roman" w:hAnsi="Times New Roman" w:cs="Times New Roman"/>
        </w:rPr>
        <w:t xml:space="preserve"> </w:t>
      </w:r>
      <w:r w:rsidRPr="009B4998">
        <w:rPr>
          <w:rFonts w:ascii="Times New Roman" w:hAnsi="Times New Roman" w:cs="Times New Roman"/>
        </w:rPr>
        <w:t>MMT CO2-e in 2018</w:t>
      </w:r>
      <w:r w:rsidR="00B60332">
        <w:rPr>
          <w:rFonts w:ascii="Times New Roman" w:hAnsi="Times New Roman" w:cs="Times New Roman"/>
        </w:rPr>
        <w:t>, includes forests, land use change</w:t>
      </w:r>
      <w:r w:rsidR="00AA77AB">
        <w:rPr>
          <w:rFonts w:ascii="Times New Roman" w:hAnsi="Times New Roman" w:cs="Times New Roman"/>
        </w:rPr>
        <w:t xml:space="preserve"> to/from forests</w:t>
      </w:r>
      <w:r w:rsidR="00B60332">
        <w:rPr>
          <w:rFonts w:ascii="Times New Roman" w:hAnsi="Times New Roman" w:cs="Times New Roman"/>
        </w:rPr>
        <w:t>, and harvested wood products</w:t>
      </w:r>
      <w:r w:rsidRPr="009B4998">
        <w:rPr>
          <w:rFonts w:ascii="Times New Roman" w:hAnsi="Times New Roman" w:cs="Times New Roman"/>
        </w:rPr>
        <w:t>), urban and developed [urban trees] (-0.28 MMT CO</w:t>
      </w:r>
      <w:r w:rsidRPr="00BB3434">
        <w:rPr>
          <w:rFonts w:ascii="Times New Roman" w:hAnsi="Times New Roman" w:cs="Times New Roman"/>
          <w:vertAlign w:val="subscript"/>
        </w:rPr>
        <w:t>2</w:t>
      </w:r>
      <w:r w:rsidRPr="009B4998">
        <w:rPr>
          <w:rFonts w:ascii="Times New Roman" w:hAnsi="Times New Roman" w:cs="Times New Roman"/>
        </w:rPr>
        <w:t>e</w:t>
      </w:r>
      <w:r w:rsidR="00B60332">
        <w:rPr>
          <w:rFonts w:ascii="Times New Roman" w:hAnsi="Times New Roman" w:cs="Times New Roman"/>
        </w:rPr>
        <w:t xml:space="preserve"> </w:t>
      </w:r>
      <w:r w:rsidRPr="009B4998">
        <w:rPr>
          <w:rFonts w:ascii="Times New Roman" w:hAnsi="Times New Roman" w:cs="Times New Roman"/>
        </w:rPr>
        <w:t>in 2020)</w:t>
      </w:r>
      <w:r w:rsidR="00A360AC">
        <w:rPr>
          <w:rFonts w:ascii="Times New Roman" w:hAnsi="Times New Roman" w:cs="Times New Roman"/>
        </w:rPr>
        <w:t>,</w:t>
      </w:r>
      <w:r w:rsidRPr="009B4998">
        <w:rPr>
          <w:rFonts w:ascii="Times New Roman" w:hAnsi="Times New Roman" w:cs="Times New Roman"/>
        </w:rPr>
        <w:t xml:space="preserve"> and wetlands and water bodies (-0.01 MMT CO</w:t>
      </w:r>
      <w:r w:rsidRPr="00BB3434">
        <w:rPr>
          <w:rFonts w:ascii="Times New Roman" w:hAnsi="Times New Roman" w:cs="Times New Roman"/>
          <w:vertAlign w:val="subscript"/>
        </w:rPr>
        <w:t>2</w:t>
      </w:r>
      <w:r w:rsidR="00B60332">
        <w:rPr>
          <w:rFonts w:ascii="Times New Roman" w:hAnsi="Times New Roman" w:cs="Times New Roman"/>
        </w:rPr>
        <w:t xml:space="preserve">e </w:t>
      </w:r>
      <w:r w:rsidRPr="009B4998">
        <w:rPr>
          <w:rFonts w:ascii="Times New Roman" w:hAnsi="Times New Roman" w:cs="Times New Roman"/>
        </w:rPr>
        <w:t>in 2020).</w:t>
      </w:r>
      <w:r w:rsidR="00AB072E">
        <w:rPr>
          <w:rFonts w:ascii="Times New Roman" w:hAnsi="Times New Roman" w:cs="Times New Roman"/>
        </w:rPr>
        <w:t xml:space="preserve"> When combined with Vermont’</w:t>
      </w:r>
      <w:r w:rsidR="00D32A56">
        <w:rPr>
          <w:rFonts w:ascii="Times New Roman" w:hAnsi="Times New Roman" w:cs="Times New Roman"/>
        </w:rPr>
        <w:t>s</w:t>
      </w:r>
      <w:r w:rsidR="00AB072E">
        <w:rPr>
          <w:rFonts w:ascii="Times New Roman" w:hAnsi="Times New Roman" w:cs="Times New Roman"/>
        </w:rPr>
        <w:t xml:space="preserve"> </w:t>
      </w:r>
      <w:r w:rsidR="00B73285">
        <w:rPr>
          <w:rFonts w:ascii="Times New Roman" w:hAnsi="Times New Roman" w:cs="Times New Roman"/>
        </w:rPr>
        <w:t xml:space="preserve">gross </w:t>
      </w:r>
      <w:r w:rsidR="00AB072E">
        <w:rPr>
          <w:rFonts w:ascii="Times New Roman" w:hAnsi="Times New Roman" w:cs="Times New Roman"/>
        </w:rPr>
        <w:t>GHG emissions</w:t>
      </w:r>
      <w:r w:rsidR="008A7A2F">
        <w:rPr>
          <w:rFonts w:ascii="Times New Roman" w:hAnsi="Times New Roman" w:cs="Times New Roman"/>
        </w:rPr>
        <w:t xml:space="preserve"> </w:t>
      </w:r>
      <w:r w:rsidR="00D452E8">
        <w:rPr>
          <w:rFonts w:ascii="Times New Roman" w:hAnsi="Times New Roman" w:cs="Times New Roman"/>
        </w:rPr>
        <w:t xml:space="preserve">from other sectors </w:t>
      </w:r>
      <w:r w:rsidR="008A7A2F">
        <w:rPr>
          <w:rFonts w:ascii="Times New Roman" w:hAnsi="Times New Roman" w:cs="Times New Roman"/>
        </w:rPr>
        <w:t>(+7.22</w:t>
      </w:r>
      <w:r w:rsidR="009C1662" w:rsidRPr="009C1662">
        <w:rPr>
          <w:rFonts w:ascii="Times New Roman" w:hAnsi="Times New Roman" w:cs="Times New Roman"/>
        </w:rPr>
        <w:t xml:space="preserve"> </w:t>
      </w:r>
      <w:r w:rsidR="009C1662" w:rsidRPr="009B4998">
        <w:rPr>
          <w:rFonts w:ascii="Times New Roman" w:hAnsi="Times New Roman" w:cs="Times New Roman"/>
        </w:rPr>
        <w:t>MMT CO</w:t>
      </w:r>
      <w:r w:rsidR="009C1662" w:rsidRPr="00BB3434">
        <w:rPr>
          <w:rFonts w:ascii="Times New Roman" w:hAnsi="Times New Roman" w:cs="Times New Roman"/>
          <w:vertAlign w:val="subscript"/>
        </w:rPr>
        <w:t>2</w:t>
      </w:r>
      <w:r w:rsidR="009C1662">
        <w:rPr>
          <w:rFonts w:ascii="Times New Roman" w:hAnsi="Times New Roman" w:cs="Times New Roman"/>
        </w:rPr>
        <w:t>e</w:t>
      </w:r>
      <w:r w:rsidR="008A7A2F">
        <w:rPr>
          <w:rFonts w:ascii="Times New Roman" w:hAnsi="Times New Roman" w:cs="Times New Roman"/>
        </w:rPr>
        <w:t>)</w:t>
      </w:r>
      <w:r w:rsidR="00CD2B42">
        <w:rPr>
          <w:rFonts w:ascii="Times New Roman" w:hAnsi="Times New Roman" w:cs="Times New Roman"/>
        </w:rPr>
        <w:t xml:space="preserve">, the net is +4.27 MMT </w:t>
      </w:r>
      <w:r w:rsidR="00CD2B42" w:rsidRPr="009B4998">
        <w:rPr>
          <w:rFonts w:ascii="Times New Roman" w:hAnsi="Times New Roman" w:cs="Times New Roman"/>
        </w:rPr>
        <w:t>CO</w:t>
      </w:r>
      <w:r w:rsidR="00CD2B42" w:rsidRPr="00BB3434">
        <w:rPr>
          <w:rFonts w:ascii="Times New Roman" w:hAnsi="Times New Roman" w:cs="Times New Roman"/>
          <w:vertAlign w:val="subscript"/>
        </w:rPr>
        <w:t>2</w:t>
      </w:r>
      <w:r w:rsidR="00CD2B42">
        <w:rPr>
          <w:rFonts w:ascii="Times New Roman" w:hAnsi="Times New Roman" w:cs="Times New Roman"/>
        </w:rPr>
        <w:t xml:space="preserve">e </w:t>
      </w:r>
      <w:r w:rsidR="00CD2B42" w:rsidRPr="009B4998">
        <w:rPr>
          <w:rFonts w:ascii="Times New Roman" w:hAnsi="Times New Roman" w:cs="Times New Roman"/>
        </w:rPr>
        <w:t>in 2020</w:t>
      </w:r>
      <w:r w:rsidR="00CD2B42">
        <w:rPr>
          <w:rFonts w:ascii="Times New Roman" w:hAnsi="Times New Roman" w:cs="Times New Roman"/>
        </w:rPr>
        <w:t>, or a 4</w:t>
      </w:r>
      <w:r w:rsidR="004A42EB">
        <w:rPr>
          <w:rFonts w:ascii="Times New Roman" w:hAnsi="Times New Roman" w:cs="Times New Roman"/>
        </w:rPr>
        <w:t>1</w:t>
      </w:r>
      <w:r w:rsidR="00CD2B42">
        <w:rPr>
          <w:rFonts w:ascii="Times New Roman" w:hAnsi="Times New Roman" w:cs="Times New Roman"/>
        </w:rPr>
        <w:t xml:space="preserve">% reduction in emissions to the atmosphere. </w:t>
      </w:r>
    </w:p>
    <w:p w14:paraId="1FB8B905" w14:textId="21F07802" w:rsidR="00236282" w:rsidRPr="00236282" w:rsidRDefault="00236282" w:rsidP="00236282">
      <w:pPr>
        <w:pStyle w:val="FigureCaption"/>
        <w:rPr>
          <w:rFonts w:ascii="Times New Roman" w:hAnsi="Times New Roman" w:cs="Times New Roman"/>
          <w:b/>
          <w:bCs/>
          <w:i w:val="0"/>
          <w:iCs/>
        </w:rPr>
      </w:pPr>
      <w:bookmarkStart w:id="1" w:name="_Ref87528132"/>
      <w:r w:rsidRPr="00236282">
        <w:rPr>
          <w:rFonts w:ascii="Times New Roman" w:hAnsi="Times New Roman" w:cs="Times New Roman"/>
          <w:b/>
          <w:bCs/>
          <w:i w:val="0"/>
          <w:iCs/>
        </w:rPr>
        <w:t xml:space="preserve">Table </w:t>
      </w:r>
      <w:r w:rsidRPr="00236282">
        <w:rPr>
          <w:rFonts w:ascii="Times New Roman" w:hAnsi="Times New Roman" w:cs="Times New Roman"/>
          <w:b/>
          <w:bCs/>
          <w:i w:val="0"/>
          <w:iCs/>
        </w:rPr>
        <w:fldChar w:fldCharType="begin"/>
      </w:r>
      <w:r w:rsidRPr="00236282">
        <w:rPr>
          <w:rFonts w:ascii="Times New Roman" w:hAnsi="Times New Roman" w:cs="Times New Roman"/>
          <w:b/>
          <w:bCs/>
          <w:i w:val="0"/>
          <w:iCs/>
        </w:rPr>
        <w:instrText xml:space="preserve"> SEQ Table \* ARABIC </w:instrText>
      </w:r>
      <w:r w:rsidRPr="00236282">
        <w:rPr>
          <w:rFonts w:ascii="Times New Roman" w:hAnsi="Times New Roman" w:cs="Times New Roman"/>
          <w:b/>
          <w:bCs/>
          <w:i w:val="0"/>
          <w:iCs/>
        </w:rPr>
        <w:fldChar w:fldCharType="separate"/>
      </w:r>
      <w:r w:rsidRPr="00236282">
        <w:rPr>
          <w:rFonts w:ascii="Times New Roman" w:hAnsi="Times New Roman" w:cs="Times New Roman"/>
          <w:b/>
          <w:bCs/>
          <w:i w:val="0"/>
          <w:iCs/>
          <w:noProof/>
        </w:rPr>
        <w:t>1</w:t>
      </w:r>
      <w:r w:rsidRPr="00236282">
        <w:rPr>
          <w:rFonts w:ascii="Times New Roman" w:hAnsi="Times New Roman" w:cs="Times New Roman"/>
          <w:b/>
          <w:bCs/>
          <w:i w:val="0"/>
          <w:iCs/>
        </w:rPr>
        <w:fldChar w:fldCharType="end"/>
      </w:r>
      <w:bookmarkEnd w:id="1"/>
      <w:r w:rsidRPr="00236282">
        <w:rPr>
          <w:rStyle w:val="FootnoteReference"/>
          <w:rFonts w:ascii="Times New Roman" w:hAnsi="Times New Roman" w:cs="Times New Roman"/>
          <w:b/>
          <w:bCs/>
          <w:i w:val="0"/>
          <w:iCs/>
        </w:rPr>
        <w:footnoteReference w:id="8"/>
      </w:r>
      <w:r w:rsidRPr="00236282">
        <w:rPr>
          <w:rFonts w:ascii="Times New Roman" w:hAnsi="Times New Roman" w:cs="Times New Roman"/>
          <w:b/>
          <w:bCs/>
          <w:i w:val="0"/>
          <w:iCs/>
        </w:rPr>
        <w:t>. Estimates</w:t>
      </w:r>
      <w:r w:rsidR="009C1662">
        <w:rPr>
          <w:rFonts w:ascii="Times New Roman" w:hAnsi="Times New Roman" w:cs="Times New Roman"/>
          <w:b/>
          <w:bCs/>
          <w:i w:val="0"/>
          <w:iCs/>
        </w:rPr>
        <w:t xml:space="preserve"> of carbon</w:t>
      </w:r>
      <w:r w:rsidRPr="00236282">
        <w:rPr>
          <w:rFonts w:ascii="Times New Roman" w:hAnsi="Times New Roman" w:cs="Times New Roman"/>
          <w:b/>
          <w:bCs/>
          <w:i w:val="0"/>
          <w:iCs/>
        </w:rPr>
        <w:t xml:space="preserve"> stocks and fluxes from </w:t>
      </w:r>
      <w:r w:rsidR="003224E7">
        <w:rPr>
          <w:rFonts w:ascii="Times New Roman" w:hAnsi="Times New Roman" w:cs="Times New Roman"/>
          <w:b/>
          <w:bCs/>
          <w:i w:val="0"/>
          <w:iCs/>
        </w:rPr>
        <w:t xml:space="preserve">Vermont’s </w:t>
      </w:r>
      <w:r w:rsidRPr="00236282">
        <w:rPr>
          <w:rFonts w:ascii="Times New Roman" w:hAnsi="Times New Roman" w:cs="Times New Roman"/>
          <w:b/>
          <w:bCs/>
          <w:i w:val="0"/>
          <w:iCs/>
        </w:rPr>
        <w:t>agriculture, forestry, and other land use</w:t>
      </w:r>
      <w:r w:rsidR="003224E7">
        <w:rPr>
          <w:rFonts w:ascii="Times New Roman" w:hAnsi="Times New Roman" w:cs="Times New Roman"/>
          <w:b/>
          <w:bCs/>
          <w:i w:val="0"/>
          <w:iCs/>
        </w:rPr>
        <w:t xml:space="preserve"> (AFOLU) sector</w:t>
      </w:r>
      <w:r w:rsidRPr="00236282">
        <w:rPr>
          <w:rFonts w:ascii="Times New Roman" w:hAnsi="Times New Roman" w:cs="Times New Roman"/>
          <w:b/>
          <w:bCs/>
          <w:i w:val="0"/>
          <w:iCs/>
        </w:rPr>
        <w:t xml:space="preserve"> compared to the state’s greenhouse gas (GHG) emissions</w:t>
      </w:r>
      <w:r w:rsidRPr="00236282">
        <w:rPr>
          <w:rStyle w:val="FootnoteReference"/>
          <w:rFonts w:ascii="Times New Roman" w:hAnsi="Times New Roman" w:cs="Times New Roman"/>
          <w:b/>
          <w:bCs/>
          <w:i w:val="0"/>
          <w:iCs/>
        </w:rPr>
        <w:footnoteReference w:id="9"/>
      </w:r>
      <w:r w:rsidRPr="00236282">
        <w:rPr>
          <w:rFonts w:ascii="Times New Roman" w:hAnsi="Times New Roman" w:cs="Times New Roman"/>
          <w:b/>
          <w:bCs/>
          <w:i w:val="0"/>
          <w:iCs/>
        </w:rPr>
        <w:t>.</w:t>
      </w:r>
    </w:p>
    <w:tbl>
      <w:tblPr>
        <w:tblStyle w:val="TableGrid"/>
        <w:tblW w:w="9355" w:type="dxa"/>
        <w:tblLayout w:type="fixed"/>
        <w:tblLook w:val="04A0" w:firstRow="1" w:lastRow="0" w:firstColumn="1" w:lastColumn="0" w:noHBand="0" w:noVBand="1"/>
      </w:tblPr>
      <w:tblGrid>
        <w:gridCol w:w="1690"/>
        <w:gridCol w:w="1604"/>
        <w:gridCol w:w="905"/>
        <w:gridCol w:w="816"/>
        <w:gridCol w:w="816"/>
        <w:gridCol w:w="3524"/>
      </w:tblGrid>
      <w:tr w:rsidR="005F49C7" w:rsidRPr="003224E7" w14:paraId="7BEFD4B9" w14:textId="77777777" w:rsidTr="000A4C4D">
        <w:tc>
          <w:tcPr>
            <w:tcW w:w="1690" w:type="dxa"/>
            <w:vMerge w:val="restart"/>
            <w:tcBorders>
              <w:top w:val="single" w:sz="18" w:space="0" w:color="auto"/>
            </w:tcBorders>
            <w:shd w:val="clear" w:color="auto" w:fill="ACB9CA" w:themeFill="text2" w:themeFillTint="66"/>
            <w:vAlign w:val="center"/>
          </w:tcPr>
          <w:p w14:paraId="78FC4F65" w14:textId="261B72AC" w:rsidR="005F49C7" w:rsidRPr="003224E7" w:rsidRDefault="005F49C7" w:rsidP="001E1E04">
            <w:pPr>
              <w:pStyle w:val="TableHeading2"/>
              <w:jc w:val="center"/>
              <w:rPr>
                <w:rFonts w:ascii="Times New Roman" w:hAnsi="Times New Roman" w:cs="Times New Roman"/>
                <w:sz w:val="20"/>
                <w:szCs w:val="20"/>
              </w:rPr>
            </w:pPr>
            <w:r w:rsidRPr="003224E7">
              <w:rPr>
                <w:rFonts w:ascii="Times New Roman" w:hAnsi="Times New Roman" w:cs="Times New Roman"/>
                <w:sz w:val="20"/>
                <w:szCs w:val="20"/>
              </w:rPr>
              <w:t>AFOLU sub-sector</w:t>
            </w:r>
          </w:p>
        </w:tc>
        <w:tc>
          <w:tcPr>
            <w:tcW w:w="1604" w:type="dxa"/>
            <w:tcBorders>
              <w:top w:val="single" w:sz="18" w:space="0" w:color="auto"/>
              <w:bottom w:val="single" w:sz="4" w:space="0" w:color="auto"/>
            </w:tcBorders>
            <w:shd w:val="clear" w:color="auto" w:fill="ACB9CA" w:themeFill="text2" w:themeFillTint="66"/>
            <w:vAlign w:val="center"/>
          </w:tcPr>
          <w:p w14:paraId="027EC3D7" w14:textId="2BDA2F5B" w:rsidR="005F49C7" w:rsidRPr="003224E7" w:rsidRDefault="000B68BF" w:rsidP="001E1E04">
            <w:pPr>
              <w:pStyle w:val="TableHeading2"/>
              <w:jc w:val="center"/>
              <w:rPr>
                <w:rFonts w:ascii="Times New Roman" w:hAnsi="Times New Roman" w:cs="Times New Roman"/>
                <w:sz w:val="20"/>
                <w:szCs w:val="20"/>
              </w:rPr>
            </w:pPr>
            <w:r w:rsidRPr="003224E7">
              <w:rPr>
                <w:rFonts w:ascii="Times New Roman" w:hAnsi="Times New Roman" w:cs="Times New Roman"/>
                <w:sz w:val="20"/>
                <w:szCs w:val="20"/>
              </w:rPr>
              <w:t>Carbon s</w:t>
            </w:r>
            <w:r w:rsidR="005F49C7" w:rsidRPr="003224E7">
              <w:rPr>
                <w:rFonts w:ascii="Times New Roman" w:hAnsi="Times New Roman" w:cs="Times New Roman"/>
                <w:sz w:val="20"/>
                <w:szCs w:val="20"/>
              </w:rPr>
              <w:t>to</w:t>
            </w:r>
            <w:r w:rsidRPr="003224E7">
              <w:rPr>
                <w:rFonts w:ascii="Times New Roman" w:hAnsi="Times New Roman" w:cs="Times New Roman"/>
                <w:sz w:val="20"/>
                <w:szCs w:val="20"/>
              </w:rPr>
              <w:t>rage</w:t>
            </w:r>
            <w:r w:rsidR="005F49C7" w:rsidRPr="003224E7">
              <w:rPr>
                <w:rFonts w:ascii="Times New Roman" w:hAnsi="Times New Roman" w:cs="Times New Roman"/>
                <w:sz w:val="20"/>
                <w:szCs w:val="20"/>
              </w:rPr>
              <w:t xml:space="preserve"> </w:t>
            </w:r>
            <w:r w:rsidR="005F49C7" w:rsidRPr="003224E7">
              <w:rPr>
                <w:rFonts w:ascii="Times New Roman" w:hAnsi="Times New Roman" w:cs="Times New Roman"/>
                <w:sz w:val="20"/>
                <w:szCs w:val="20"/>
              </w:rPr>
              <w:br/>
              <w:t>(MMT CO</w:t>
            </w:r>
            <w:r w:rsidR="005F49C7" w:rsidRPr="003224E7">
              <w:rPr>
                <w:rFonts w:ascii="Times New Roman" w:hAnsi="Times New Roman" w:cs="Times New Roman"/>
                <w:sz w:val="20"/>
                <w:szCs w:val="20"/>
                <w:vertAlign w:val="subscript"/>
              </w:rPr>
              <w:t>2</w:t>
            </w:r>
            <w:r w:rsidR="005F49C7" w:rsidRPr="003224E7">
              <w:rPr>
                <w:rFonts w:ascii="Times New Roman" w:hAnsi="Times New Roman" w:cs="Times New Roman"/>
                <w:sz w:val="20"/>
                <w:szCs w:val="20"/>
              </w:rPr>
              <w:t>e)</w:t>
            </w:r>
          </w:p>
        </w:tc>
        <w:tc>
          <w:tcPr>
            <w:tcW w:w="2537" w:type="dxa"/>
            <w:gridSpan w:val="3"/>
            <w:tcBorders>
              <w:top w:val="single" w:sz="18" w:space="0" w:color="auto"/>
              <w:bottom w:val="single" w:sz="4" w:space="0" w:color="auto"/>
            </w:tcBorders>
            <w:shd w:val="clear" w:color="auto" w:fill="ACB9CA" w:themeFill="text2" w:themeFillTint="66"/>
            <w:vAlign w:val="center"/>
          </w:tcPr>
          <w:p w14:paraId="542BC32E" w14:textId="701A9E28" w:rsidR="005F49C7" w:rsidRPr="003224E7" w:rsidRDefault="002B1F78" w:rsidP="7E078E2E">
            <w:pPr>
              <w:pStyle w:val="TableHeading2"/>
              <w:jc w:val="center"/>
              <w:rPr>
                <w:rFonts w:ascii="Times New Roman" w:hAnsi="Times New Roman" w:cs="Times New Roman"/>
                <w:sz w:val="20"/>
                <w:szCs w:val="20"/>
              </w:rPr>
            </w:pPr>
            <w:r w:rsidRPr="003224E7">
              <w:rPr>
                <w:rFonts w:ascii="Times New Roman" w:hAnsi="Times New Roman" w:cs="Times New Roman"/>
                <w:sz w:val="20"/>
                <w:szCs w:val="20"/>
              </w:rPr>
              <w:t>Net c</w:t>
            </w:r>
            <w:r w:rsidR="296304CC" w:rsidRPr="003224E7">
              <w:rPr>
                <w:rFonts w:ascii="Times New Roman" w:hAnsi="Times New Roman" w:cs="Times New Roman"/>
                <w:sz w:val="20"/>
                <w:szCs w:val="20"/>
              </w:rPr>
              <w:t>arbon f</w:t>
            </w:r>
            <w:r w:rsidR="6B6241F9" w:rsidRPr="003224E7">
              <w:rPr>
                <w:rFonts w:ascii="Times New Roman" w:hAnsi="Times New Roman" w:cs="Times New Roman"/>
                <w:sz w:val="20"/>
                <w:szCs w:val="20"/>
              </w:rPr>
              <w:t>lux</w:t>
            </w:r>
          </w:p>
          <w:p w14:paraId="2DEB9EC5" w14:textId="365AB538" w:rsidR="005F49C7" w:rsidRPr="003224E7" w:rsidRDefault="005F49C7" w:rsidP="001E1E04">
            <w:pPr>
              <w:pStyle w:val="TableHeading2"/>
              <w:jc w:val="center"/>
              <w:rPr>
                <w:rFonts w:ascii="Times New Roman" w:hAnsi="Times New Roman" w:cs="Times New Roman"/>
                <w:sz w:val="20"/>
                <w:szCs w:val="20"/>
                <w:vertAlign w:val="superscript"/>
              </w:rPr>
            </w:pPr>
            <w:r w:rsidRPr="003224E7">
              <w:rPr>
                <w:rFonts w:ascii="Times New Roman" w:hAnsi="Times New Roman" w:cs="Times New Roman"/>
                <w:sz w:val="20"/>
                <w:szCs w:val="20"/>
              </w:rPr>
              <w:t>(MMT CO</w:t>
            </w:r>
            <w:r w:rsidRPr="003224E7">
              <w:rPr>
                <w:rFonts w:ascii="Times New Roman" w:hAnsi="Times New Roman" w:cs="Times New Roman"/>
                <w:sz w:val="20"/>
                <w:szCs w:val="20"/>
                <w:vertAlign w:val="subscript"/>
              </w:rPr>
              <w:t>2</w:t>
            </w:r>
            <w:r w:rsidRPr="003224E7">
              <w:rPr>
                <w:rFonts w:ascii="Times New Roman" w:hAnsi="Times New Roman" w:cs="Times New Roman"/>
                <w:sz w:val="20"/>
                <w:szCs w:val="20"/>
              </w:rPr>
              <w:t xml:space="preserve">e </w:t>
            </w:r>
            <w:r w:rsidR="000B0364" w:rsidRPr="003224E7">
              <w:rPr>
                <w:rFonts w:ascii="Times New Roman" w:hAnsi="Times New Roman" w:cs="Times New Roman"/>
                <w:sz w:val="20"/>
                <w:szCs w:val="20"/>
              </w:rPr>
              <w:t>per year</w:t>
            </w:r>
            <w:r w:rsidRPr="003224E7">
              <w:rPr>
                <w:rFonts w:ascii="Times New Roman" w:hAnsi="Times New Roman" w:cs="Times New Roman"/>
                <w:sz w:val="20"/>
                <w:szCs w:val="20"/>
              </w:rPr>
              <w:t>)</w:t>
            </w:r>
            <w:r w:rsidR="000B68BF" w:rsidRPr="003224E7">
              <w:rPr>
                <w:rStyle w:val="FootnoteReference"/>
                <w:rFonts w:ascii="Times New Roman" w:hAnsi="Times New Roman" w:cs="Times New Roman"/>
                <w:sz w:val="20"/>
                <w:szCs w:val="20"/>
              </w:rPr>
              <w:footnoteReference w:id="10"/>
            </w:r>
          </w:p>
        </w:tc>
        <w:tc>
          <w:tcPr>
            <w:tcW w:w="3524" w:type="dxa"/>
            <w:vMerge w:val="restart"/>
            <w:tcBorders>
              <w:top w:val="single" w:sz="18" w:space="0" w:color="auto"/>
            </w:tcBorders>
            <w:shd w:val="clear" w:color="auto" w:fill="ACB9CA" w:themeFill="text2" w:themeFillTint="66"/>
            <w:vAlign w:val="center"/>
          </w:tcPr>
          <w:p w14:paraId="4336BAFE" w14:textId="77777777" w:rsidR="005F49C7" w:rsidRPr="003224E7" w:rsidRDefault="005F49C7" w:rsidP="001E1E04">
            <w:pPr>
              <w:pStyle w:val="TableHeading2"/>
              <w:jc w:val="center"/>
              <w:rPr>
                <w:rFonts w:ascii="Times New Roman" w:hAnsi="Times New Roman" w:cs="Times New Roman"/>
                <w:sz w:val="20"/>
                <w:szCs w:val="20"/>
              </w:rPr>
            </w:pPr>
            <w:r w:rsidRPr="003224E7">
              <w:rPr>
                <w:rFonts w:ascii="Times New Roman" w:hAnsi="Times New Roman" w:cs="Times New Roman"/>
                <w:sz w:val="20"/>
                <w:szCs w:val="20"/>
              </w:rPr>
              <w:t>Components</w:t>
            </w:r>
          </w:p>
        </w:tc>
      </w:tr>
      <w:tr w:rsidR="005F49C7" w:rsidRPr="003224E7" w14:paraId="2B6F66CC" w14:textId="77777777" w:rsidTr="000A4C4D">
        <w:tc>
          <w:tcPr>
            <w:tcW w:w="1690" w:type="dxa"/>
            <w:vMerge/>
            <w:vAlign w:val="center"/>
          </w:tcPr>
          <w:p w14:paraId="3AC0CA73" w14:textId="77777777" w:rsidR="005F49C7" w:rsidRPr="003224E7" w:rsidRDefault="005F49C7" w:rsidP="001E1E04">
            <w:pPr>
              <w:pStyle w:val="TableHeading2"/>
              <w:jc w:val="center"/>
              <w:rPr>
                <w:rFonts w:ascii="Times New Roman" w:hAnsi="Times New Roman" w:cs="Times New Roman"/>
                <w:sz w:val="20"/>
                <w:szCs w:val="20"/>
              </w:rPr>
            </w:pPr>
          </w:p>
        </w:tc>
        <w:tc>
          <w:tcPr>
            <w:tcW w:w="1604" w:type="dxa"/>
            <w:tcBorders>
              <w:bottom w:val="single" w:sz="18" w:space="0" w:color="auto"/>
            </w:tcBorders>
            <w:shd w:val="clear" w:color="auto" w:fill="ACB9CA" w:themeFill="text2" w:themeFillTint="66"/>
            <w:vAlign w:val="center"/>
          </w:tcPr>
          <w:p w14:paraId="11236064" w14:textId="77777777" w:rsidR="005F49C7" w:rsidRPr="003224E7" w:rsidRDefault="005F49C7" w:rsidP="001E1E04">
            <w:pPr>
              <w:pStyle w:val="TableHeading2"/>
              <w:jc w:val="center"/>
              <w:rPr>
                <w:rFonts w:ascii="Times New Roman" w:hAnsi="Times New Roman" w:cs="Times New Roman"/>
                <w:sz w:val="20"/>
                <w:szCs w:val="20"/>
              </w:rPr>
            </w:pPr>
            <w:r w:rsidRPr="003224E7">
              <w:rPr>
                <w:rFonts w:ascii="Times New Roman" w:hAnsi="Times New Roman" w:cs="Times New Roman"/>
                <w:sz w:val="20"/>
                <w:szCs w:val="20"/>
              </w:rPr>
              <w:t>2020</w:t>
            </w:r>
          </w:p>
        </w:tc>
        <w:tc>
          <w:tcPr>
            <w:tcW w:w="905" w:type="dxa"/>
            <w:tcBorders>
              <w:bottom w:val="single" w:sz="18" w:space="0" w:color="auto"/>
            </w:tcBorders>
            <w:shd w:val="clear" w:color="auto" w:fill="ACB9CA" w:themeFill="text2" w:themeFillTint="66"/>
          </w:tcPr>
          <w:p w14:paraId="1535A22A" w14:textId="77777777" w:rsidR="005F49C7" w:rsidRPr="003224E7" w:rsidRDefault="005F49C7" w:rsidP="001E1E04">
            <w:pPr>
              <w:pStyle w:val="TableHeading2"/>
              <w:jc w:val="center"/>
              <w:rPr>
                <w:rFonts w:ascii="Times New Roman" w:hAnsi="Times New Roman" w:cs="Times New Roman"/>
                <w:sz w:val="20"/>
                <w:szCs w:val="20"/>
              </w:rPr>
            </w:pPr>
            <w:r w:rsidRPr="003224E7">
              <w:rPr>
                <w:rFonts w:ascii="Times New Roman" w:hAnsi="Times New Roman" w:cs="Times New Roman"/>
                <w:sz w:val="20"/>
                <w:szCs w:val="20"/>
              </w:rPr>
              <w:t>1990</w:t>
            </w:r>
          </w:p>
        </w:tc>
        <w:tc>
          <w:tcPr>
            <w:tcW w:w="816" w:type="dxa"/>
            <w:tcBorders>
              <w:bottom w:val="single" w:sz="18" w:space="0" w:color="auto"/>
            </w:tcBorders>
            <w:shd w:val="clear" w:color="auto" w:fill="ACB9CA" w:themeFill="text2" w:themeFillTint="66"/>
          </w:tcPr>
          <w:p w14:paraId="459AE3D3" w14:textId="77777777" w:rsidR="005F49C7" w:rsidRPr="003224E7" w:rsidRDefault="005F49C7" w:rsidP="001E1E04">
            <w:pPr>
              <w:pStyle w:val="TableHeading2"/>
              <w:jc w:val="center"/>
              <w:rPr>
                <w:rFonts w:ascii="Times New Roman" w:hAnsi="Times New Roman" w:cs="Times New Roman"/>
                <w:sz w:val="20"/>
                <w:szCs w:val="20"/>
              </w:rPr>
            </w:pPr>
            <w:r w:rsidRPr="003224E7">
              <w:rPr>
                <w:rFonts w:ascii="Times New Roman" w:hAnsi="Times New Roman" w:cs="Times New Roman"/>
                <w:sz w:val="20"/>
                <w:szCs w:val="20"/>
              </w:rPr>
              <w:t>2005</w:t>
            </w:r>
          </w:p>
        </w:tc>
        <w:tc>
          <w:tcPr>
            <w:tcW w:w="816" w:type="dxa"/>
            <w:tcBorders>
              <w:bottom w:val="single" w:sz="18" w:space="0" w:color="auto"/>
            </w:tcBorders>
            <w:shd w:val="clear" w:color="auto" w:fill="ACB9CA" w:themeFill="text2" w:themeFillTint="66"/>
            <w:vAlign w:val="center"/>
          </w:tcPr>
          <w:p w14:paraId="6222E2D4" w14:textId="7CC5DBE7" w:rsidR="005F49C7" w:rsidRPr="003224E7" w:rsidRDefault="005F49C7" w:rsidP="001E1E04">
            <w:pPr>
              <w:pStyle w:val="TableHeading2"/>
              <w:jc w:val="center"/>
              <w:rPr>
                <w:rFonts w:ascii="Times New Roman" w:hAnsi="Times New Roman" w:cs="Times New Roman"/>
                <w:sz w:val="20"/>
                <w:szCs w:val="20"/>
                <w:vertAlign w:val="superscript"/>
              </w:rPr>
            </w:pPr>
            <w:r w:rsidRPr="003224E7">
              <w:rPr>
                <w:rFonts w:ascii="Times New Roman" w:hAnsi="Times New Roman" w:cs="Times New Roman"/>
                <w:sz w:val="20"/>
                <w:szCs w:val="20"/>
              </w:rPr>
              <w:t>202</w:t>
            </w:r>
            <w:r w:rsidR="000B68BF" w:rsidRPr="003224E7">
              <w:rPr>
                <w:rFonts w:ascii="Times New Roman" w:hAnsi="Times New Roman" w:cs="Times New Roman"/>
                <w:sz w:val="20"/>
                <w:szCs w:val="20"/>
              </w:rPr>
              <w:t>0</w:t>
            </w:r>
          </w:p>
        </w:tc>
        <w:tc>
          <w:tcPr>
            <w:tcW w:w="3524" w:type="dxa"/>
            <w:vMerge/>
            <w:vAlign w:val="center"/>
          </w:tcPr>
          <w:p w14:paraId="6F64BC4C" w14:textId="77777777" w:rsidR="005F49C7" w:rsidRPr="003224E7" w:rsidRDefault="005F49C7" w:rsidP="001E1E04">
            <w:pPr>
              <w:pStyle w:val="TableHeading2"/>
              <w:jc w:val="center"/>
              <w:rPr>
                <w:rFonts w:ascii="Times New Roman" w:hAnsi="Times New Roman" w:cs="Times New Roman"/>
                <w:sz w:val="20"/>
                <w:szCs w:val="20"/>
              </w:rPr>
            </w:pPr>
          </w:p>
        </w:tc>
      </w:tr>
      <w:tr w:rsidR="005F49C7" w:rsidRPr="003224E7" w14:paraId="546AA3EF" w14:textId="77777777" w:rsidTr="000A4C4D">
        <w:trPr>
          <w:trHeight w:val="602"/>
        </w:trPr>
        <w:tc>
          <w:tcPr>
            <w:tcW w:w="1690" w:type="dxa"/>
            <w:vAlign w:val="center"/>
          </w:tcPr>
          <w:p w14:paraId="18EBCC89" w14:textId="77777777" w:rsidR="005F49C7" w:rsidRPr="003224E7" w:rsidRDefault="005F49C7" w:rsidP="001E1E04">
            <w:pPr>
              <w:pStyle w:val="TableHeading"/>
              <w:rPr>
                <w:rFonts w:ascii="Times New Roman" w:hAnsi="Times New Roman" w:cs="Times New Roman"/>
                <w:b w:val="0"/>
                <w:bCs w:val="0"/>
                <w:sz w:val="20"/>
                <w:szCs w:val="20"/>
              </w:rPr>
            </w:pPr>
            <w:r w:rsidRPr="003224E7">
              <w:rPr>
                <w:rFonts w:ascii="Times New Roman" w:hAnsi="Times New Roman" w:cs="Times New Roman"/>
                <w:b w:val="0"/>
                <w:bCs w:val="0"/>
                <w:sz w:val="20"/>
                <w:szCs w:val="20"/>
              </w:rPr>
              <w:t>Agriculture</w:t>
            </w:r>
          </w:p>
        </w:tc>
        <w:tc>
          <w:tcPr>
            <w:tcW w:w="1604" w:type="dxa"/>
            <w:vAlign w:val="center"/>
          </w:tcPr>
          <w:p w14:paraId="291269E7" w14:textId="77777777" w:rsidR="005F49C7" w:rsidRPr="003224E7" w:rsidRDefault="005F49C7" w:rsidP="001E1E04">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63</w:t>
            </w:r>
          </w:p>
        </w:tc>
        <w:tc>
          <w:tcPr>
            <w:tcW w:w="905" w:type="dxa"/>
            <w:vAlign w:val="center"/>
          </w:tcPr>
          <w:p w14:paraId="42759D5B" w14:textId="07268E89" w:rsidR="005F49C7" w:rsidRPr="003224E7" w:rsidRDefault="00A360AC" w:rsidP="001E1E04">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w:t>
            </w:r>
            <w:r w:rsidR="005F49C7" w:rsidRPr="003224E7">
              <w:rPr>
                <w:rFonts w:ascii="Times New Roman" w:hAnsi="Times New Roman" w:cs="Times New Roman"/>
                <w:sz w:val="20"/>
                <w:szCs w:val="20"/>
              </w:rPr>
              <w:t>0.70</w:t>
            </w:r>
          </w:p>
        </w:tc>
        <w:tc>
          <w:tcPr>
            <w:tcW w:w="816" w:type="dxa"/>
            <w:vAlign w:val="center"/>
          </w:tcPr>
          <w:p w14:paraId="35228F1D" w14:textId="6D36D54A" w:rsidR="005F49C7" w:rsidRPr="003224E7" w:rsidRDefault="00A360AC" w:rsidP="001E1E04">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w:t>
            </w:r>
            <w:r w:rsidR="005F49C7" w:rsidRPr="003224E7">
              <w:rPr>
                <w:rFonts w:ascii="Times New Roman" w:hAnsi="Times New Roman" w:cs="Times New Roman"/>
                <w:sz w:val="20"/>
                <w:szCs w:val="20"/>
              </w:rPr>
              <w:t>0.61</w:t>
            </w:r>
          </w:p>
        </w:tc>
        <w:tc>
          <w:tcPr>
            <w:tcW w:w="816" w:type="dxa"/>
            <w:vAlign w:val="center"/>
          </w:tcPr>
          <w:p w14:paraId="09D92A53" w14:textId="6BA16893" w:rsidR="005F49C7" w:rsidRPr="003224E7" w:rsidRDefault="00A360AC" w:rsidP="001E1E04">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w:t>
            </w:r>
            <w:r w:rsidR="005F49C7" w:rsidRPr="003224E7">
              <w:rPr>
                <w:rFonts w:ascii="Times New Roman" w:hAnsi="Times New Roman" w:cs="Times New Roman"/>
                <w:sz w:val="20"/>
                <w:szCs w:val="20"/>
              </w:rPr>
              <w:t>0.49</w:t>
            </w:r>
          </w:p>
        </w:tc>
        <w:tc>
          <w:tcPr>
            <w:tcW w:w="3524" w:type="dxa"/>
            <w:vAlign w:val="center"/>
          </w:tcPr>
          <w:p w14:paraId="6B395D02" w14:textId="77777777" w:rsidR="005F49C7" w:rsidRPr="003224E7" w:rsidRDefault="005F49C7" w:rsidP="001E1E04">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 xml:space="preserve">Crops (including hay), fertilizers, livestock, management </w:t>
            </w:r>
          </w:p>
        </w:tc>
      </w:tr>
      <w:tr w:rsidR="006A45D0" w:rsidRPr="003224E7" w14:paraId="0FD3D28A" w14:textId="77777777" w:rsidTr="000A4C4D">
        <w:trPr>
          <w:trHeight w:val="638"/>
        </w:trPr>
        <w:tc>
          <w:tcPr>
            <w:tcW w:w="1690" w:type="dxa"/>
            <w:vAlign w:val="center"/>
          </w:tcPr>
          <w:p w14:paraId="132A3AC1" w14:textId="5E8F3C6E" w:rsidR="006A45D0" w:rsidRPr="003224E7" w:rsidRDefault="006A45D0" w:rsidP="006A45D0">
            <w:pPr>
              <w:pStyle w:val="TableHeading"/>
              <w:rPr>
                <w:rFonts w:ascii="Times New Roman" w:hAnsi="Times New Roman" w:cs="Times New Roman"/>
                <w:b w:val="0"/>
                <w:bCs w:val="0"/>
                <w:sz w:val="20"/>
                <w:szCs w:val="20"/>
              </w:rPr>
            </w:pPr>
            <w:r w:rsidRPr="003224E7">
              <w:rPr>
                <w:rFonts w:ascii="Times New Roman" w:hAnsi="Times New Roman" w:cs="Times New Roman"/>
                <w:b w:val="0"/>
                <w:bCs w:val="0"/>
                <w:sz w:val="20"/>
                <w:szCs w:val="20"/>
              </w:rPr>
              <w:t>Forests</w:t>
            </w:r>
          </w:p>
        </w:tc>
        <w:tc>
          <w:tcPr>
            <w:tcW w:w="1604" w:type="dxa"/>
            <w:vAlign w:val="center"/>
          </w:tcPr>
          <w:p w14:paraId="561CC5D2" w14:textId="380E3F8C" w:rsidR="006A45D0" w:rsidRPr="003224E7" w:rsidRDefault="006A45D0" w:rsidP="006A45D0">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1,859</w:t>
            </w:r>
          </w:p>
        </w:tc>
        <w:tc>
          <w:tcPr>
            <w:tcW w:w="905" w:type="dxa"/>
            <w:vAlign w:val="center"/>
          </w:tcPr>
          <w:p w14:paraId="28DDDC9C" w14:textId="15A8B3CE" w:rsidR="006A45D0" w:rsidRPr="003224E7" w:rsidRDefault="006A45D0" w:rsidP="006A45D0">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-5.1</w:t>
            </w:r>
          </w:p>
        </w:tc>
        <w:tc>
          <w:tcPr>
            <w:tcW w:w="816" w:type="dxa"/>
            <w:vAlign w:val="center"/>
          </w:tcPr>
          <w:p w14:paraId="626525E9" w14:textId="0406A66E" w:rsidR="006A45D0" w:rsidRPr="003224E7" w:rsidRDefault="006A45D0" w:rsidP="006A45D0">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-3.2</w:t>
            </w:r>
          </w:p>
        </w:tc>
        <w:tc>
          <w:tcPr>
            <w:tcW w:w="816" w:type="dxa"/>
            <w:vAlign w:val="center"/>
          </w:tcPr>
          <w:p w14:paraId="5D6C424B" w14:textId="598B938E" w:rsidR="006A45D0" w:rsidRPr="003224E7" w:rsidRDefault="006A45D0" w:rsidP="006A45D0">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-3.2</w:t>
            </w:r>
            <w:r w:rsidRPr="003224E7">
              <w:rPr>
                <w:rStyle w:val="FootnoteReference"/>
                <w:rFonts w:ascii="Times New Roman" w:hAnsi="Times New Roman" w:cs="Times New Roman"/>
                <w:sz w:val="20"/>
                <w:szCs w:val="20"/>
              </w:rPr>
              <w:footnoteReference w:id="11"/>
            </w:r>
          </w:p>
        </w:tc>
        <w:tc>
          <w:tcPr>
            <w:tcW w:w="3524" w:type="dxa"/>
            <w:vAlign w:val="center"/>
          </w:tcPr>
          <w:p w14:paraId="1D38319B" w14:textId="12692287" w:rsidR="006A45D0" w:rsidRPr="003224E7" w:rsidRDefault="006A45D0" w:rsidP="006A45D0">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Forests, conversion to/from forests, harvested wood products (combustion, decay, and storage in use and in landfill)</w:t>
            </w:r>
          </w:p>
        </w:tc>
      </w:tr>
      <w:tr w:rsidR="008D08A9" w:rsidRPr="003224E7" w14:paraId="50EA36E2" w14:textId="77777777" w:rsidTr="000A4C4D">
        <w:trPr>
          <w:trHeight w:val="638"/>
        </w:trPr>
        <w:tc>
          <w:tcPr>
            <w:tcW w:w="1690" w:type="dxa"/>
            <w:vAlign w:val="center"/>
          </w:tcPr>
          <w:p w14:paraId="1009132E" w14:textId="79EF4510" w:rsidR="008D08A9" w:rsidRPr="003224E7" w:rsidRDefault="008D08A9" w:rsidP="008D08A9">
            <w:pPr>
              <w:pStyle w:val="TableHeading"/>
              <w:rPr>
                <w:rFonts w:ascii="Times New Roman" w:hAnsi="Times New Roman" w:cs="Times New Roman"/>
                <w:b w:val="0"/>
                <w:bCs w:val="0"/>
                <w:sz w:val="20"/>
                <w:szCs w:val="20"/>
              </w:rPr>
            </w:pPr>
            <w:r w:rsidRPr="003224E7">
              <w:rPr>
                <w:rFonts w:ascii="Times New Roman" w:hAnsi="Times New Roman" w:cs="Times New Roman"/>
                <w:b w:val="0"/>
                <w:bCs w:val="0"/>
                <w:sz w:val="20"/>
                <w:szCs w:val="20"/>
              </w:rPr>
              <w:t>Grasslands and shrublands</w:t>
            </w:r>
          </w:p>
        </w:tc>
        <w:tc>
          <w:tcPr>
            <w:tcW w:w="1604" w:type="dxa"/>
            <w:vAlign w:val="center"/>
          </w:tcPr>
          <w:p w14:paraId="47318C73" w14:textId="6B397058"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41</w:t>
            </w:r>
          </w:p>
        </w:tc>
        <w:tc>
          <w:tcPr>
            <w:tcW w:w="905" w:type="dxa"/>
            <w:vAlign w:val="center"/>
          </w:tcPr>
          <w:p w14:paraId="52E5EF38" w14:textId="1597D1CA"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+0.06</w:t>
            </w:r>
          </w:p>
        </w:tc>
        <w:tc>
          <w:tcPr>
            <w:tcW w:w="816" w:type="dxa"/>
            <w:vAlign w:val="center"/>
          </w:tcPr>
          <w:p w14:paraId="5A171035" w14:textId="7C57E28F"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+0.05</w:t>
            </w:r>
          </w:p>
        </w:tc>
        <w:tc>
          <w:tcPr>
            <w:tcW w:w="816" w:type="dxa"/>
            <w:vAlign w:val="center"/>
          </w:tcPr>
          <w:p w14:paraId="41D5AB6D" w14:textId="529B8049"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+0.05</w:t>
            </w:r>
          </w:p>
        </w:tc>
        <w:tc>
          <w:tcPr>
            <w:tcW w:w="3524" w:type="dxa"/>
            <w:vAlign w:val="center"/>
          </w:tcPr>
          <w:p w14:paraId="3D1E5D33" w14:textId="32953F92"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Unmanaged and managed (e.g., pasture)</w:t>
            </w:r>
          </w:p>
        </w:tc>
      </w:tr>
      <w:tr w:rsidR="008D08A9" w:rsidRPr="003224E7" w14:paraId="3D89B6F7" w14:textId="77777777" w:rsidTr="000A4C4D">
        <w:trPr>
          <w:trHeight w:val="638"/>
        </w:trPr>
        <w:tc>
          <w:tcPr>
            <w:tcW w:w="1690" w:type="dxa"/>
            <w:vAlign w:val="center"/>
          </w:tcPr>
          <w:p w14:paraId="1A1FD84D" w14:textId="77777777" w:rsidR="008D08A9" w:rsidRPr="003224E7" w:rsidRDefault="008D08A9" w:rsidP="008D08A9">
            <w:pPr>
              <w:pStyle w:val="TableHeading"/>
              <w:rPr>
                <w:rFonts w:ascii="Times New Roman" w:hAnsi="Times New Roman" w:cs="Times New Roman"/>
                <w:b w:val="0"/>
                <w:bCs w:val="0"/>
                <w:sz w:val="20"/>
                <w:szCs w:val="20"/>
              </w:rPr>
            </w:pPr>
            <w:r w:rsidRPr="003224E7">
              <w:rPr>
                <w:rFonts w:ascii="Times New Roman" w:hAnsi="Times New Roman" w:cs="Times New Roman"/>
                <w:b w:val="0"/>
                <w:bCs w:val="0"/>
                <w:sz w:val="20"/>
                <w:szCs w:val="20"/>
              </w:rPr>
              <w:t>Wetlands and water bodies</w:t>
            </w:r>
          </w:p>
        </w:tc>
        <w:tc>
          <w:tcPr>
            <w:tcW w:w="1604" w:type="dxa"/>
            <w:vAlign w:val="center"/>
          </w:tcPr>
          <w:p w14:paraId="52B9B898" w14:textId="77777777"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57</w:t>
            </w:r>
          </w:p>
        </w:tc>
        <w:tc>
          <w:tcPr>
            <w:tcW w:w="905" w:type="dxa"/>
            <w:vAlign w:val="center"/>
          </w:tcPr>
          <w:p w14:paraId="39EB8905" w14:textId="77777777"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-0.01</w:t>
            </w:r>
          </w:p>
        </w:tc>
        <w:tc>
          <w:tcPr>
            <w:tcW w:w="816" w:type="dxa"/>
            <w:vAlign w:val="center"/>
          </w:tcPr>
          <w:p w14:paraId="1BF44A94" w14:textId="77777777"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-0.01</w:t>
            </w:r>
          </w:p>
        </w:tc>
        <w:tc>
          <w:tcPr>
            <w:tcW w:w="816" w:type="dxa"/>
            <w:vAlign w:val="center"/>
          </w:tcPr>
          <w:p w14:paraId="05DDC75E" w14:textId="77777777"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-0.01</w:t>
            </w:r>
          </w:p>
        </w:tc>
        <w:tc>
          <w:tcPr>
            <w:tcW w:w="3524" w:type="dxa"/>
            <w:vAlign w:val="center"/>
          </w:tcPr>
          <w:p w14:paraId="28360C16" w14:textId="77777777"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Wetlands and water bodies</w:t>
            </w:r>
          </w:p>
        </w:tc>
      </w:tr>
      <w:tr w:rsidR="008D08A9" w:rsidRPr="003224E7" w14:paraId="435EAC53" w14:textId="77777777" w:rsidTr="000A4C4D">
        <w:trPr>
          <w:trHeight w:val="647"/>
        </w:trPr>
        <w:tc>
          <w:tcPr>
            <w:tcW w:w="1690" w:type="dxa"/>
            <w:tcBorders>
              <w:bottom w:val="single" w:sz="18" w:space="0" w:color="auto"/>
            </w:tcBorders>
            <w:vAlign w:val="center"/>
          </w:tcPr>
          <w:p w14:paraId="34B798CA" w14:textId="77777777" w:rsidR="008D08A9" w:rsidRPr="003224E7" w:rsidRDefault="008D08A9" w:rsidP="008D08A9">
            <w:pPr>
              <w:pStyle w:val="TableHeading"/>
              <w:rPr>
                <w:rFonts w:ascii="Times New Roman" w:hAnsi="Times New Roman" w:cs="Times New Roman"/>
                <w:b w:val="0"/>
                <w:bCs w:val="0"/>
                <w:sz w:val="20"/>
                <w:szCs w:val="20"/>
              </w:rPr>
            </w:pPr>
            <w:r w:rsidRPr="003224E7">
              <w:rPr>
                <w:rFonts w:ascii="Times New Roman" w:hAnsi="Times New Roman" w:cs="Times New Roman"/>
                <w:b w:val="0"/>
                <w:bCs w:val="0"/>
                <w:sz w:val="20"/>
                <w:szCs w:val="20"/>
              </w:rPr>
              <w:t>Urban and developed</w:t>
            </w:r>
          </w:p>
        </w:tc>
        <w:tc>
          <w:tcPr>
            <w:tcW w:w="1604" w:type="dxa"/>
            <w:tcBorders>
              <w:bottom w:val="single" w:sz="18" w:space="0" w:color="auto"/>
            </w:tcBorders>
            <w:vAlign w:val="center"/>
          </w:tcPr>
          <w:p w14:paraId="026D4851" w14:textId="77777777"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15</w:t>
            </w:r>
          </w:p>
        </w:tc>
        <w:tc>
          <w:tcPr>
            <w:tcW w:w="905" w:type="dxa"/>
            <w:tcBorders>
              <w:bottom w:val="single" w:sz="18" w:space="0" w:color="auto"/>
            </w:tcBorders>
            <w:vAlign w:val="center"/>
          </w:tcPr>
          <w:p w14:paraId="357BF11E" w14:textId="77777777"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-0.26</w:t>
            </w:r>
          </w:p>
        </w:tc>
        <w:tc>
          <w:tcPr>
            <w:tcW w:w="816" w:type="dxa"/>
            <w:tcBorders>
              <w:bottom w:val="single" w:sz="18" w:space="0" w:color="auto"/>
            </w:tcBorders>
            <w:vAlign w:val="center"/>
          </w:tcPr>
          <w:p w14:paraId="6EDDCD63" w14:textId="77777777"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-0.27</w:t>
            </w:r>
          </w:p>
        </w:tc>
        <w:tc>
          <w:tcPr>
            <w:tcW w:w="816" w:type="dxa"/>
            <w:tcBorders>
              <w:bottom w:val="single" w:sz="18" w:space="0" w:color="auto"/>
            </w:tcBorders>
            <w:vAlign w:val="center"/>
          </w:tcPr>
          <w:p w14:paraId="4E1D365E" w14:textId="77777777"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-0.28</w:t>
            </w:r>
          </w:p>
        </w:tc>
        <w:tc>
          <w:tcPr>
            <w:tcW w:w="3524" w:type="dxa"/>
            <w:tcBorders>
              <w:bottom w:val="single" w:sz="18" w:space="0" w:color="auto"/>
            </w:tcBorders>
            <w:vAlign w:val="center"/>
          </w:tcPr>
          <w:p w14:paraId="51BB8119" w14:textId="777B2D58"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Trees</w:t>
            </w:r>
          </w:p>
        </w:tc>
      </w:tr>
      <w:tr w:rsidR="008D08A9" w:rsidRPr="003224E7" w14:paraId="3D0FE18D" w14:textId="77777777" w:rsidTr="000A4C4D">
        <w:tc>
          <w:tcPr>
            <w:tcW w:w="1690" w:type="dxa"/>
            <w:tcBorders>
              <w:top w:val="single" w:sz="18" w:space="0" w:color="auto"/>
              <w:bottom w:val="single" w:sz="18" w:space="0" w:color="auto"/>
            </w:tcBorders>
            <w:shd w:val="clear" w:color="auto" w:fill="D9D9D9" w:themeFill="background1" w:themeFillShade="D9"/>
            <w:vAlign w:val="center"/>
          </w:tcPr>
          <w:p w14:paraId="2205C6AB" w14:textId="48325825" w:rsidR="008D08A9" w:rsidRPr="003224E7" w:rsidRDefault="008D08A9" w:rsidP="008D08A9">
            <w:pPr>
              <w:pStyle w:val="TableHeading"/>
              <w:rPr>
                <w:rFonts w:ascii="Times New Roman" w:hAnsi="Times New Roman" w:cs="Times New Roman"/>
                <w:sz w:val="20"/>
                <w:szCs w:val="20"/>
              </w:rPr>
            </w:pPr>
            <w:r w:rsidRPr="003224E7">
              <w:rPr>
                <w:rFonts w:ascii="Times New Roman" w:hAnsi="Times New Roman" w:cs="Times New Roman"/>
                <w:sz w:val="20"/>
                <w:szCs w:val="20"/>
              </w:rPr>
              <w:t>Net for AFOLU sector</w:t>
            </w:r>
          </w:p>
        </w:tc>
        <w:tc>
          <w:tcPr>
            <w:tcW w:w="1604" w:type="dxa"/>
            <w:tcBorders>
              <w:top w:val="single" w:sz="18" w:space="0" w:color="auto"/>
              <w:bottom w:val="single" w:sz="18" w:space="0" w:color="auto"/>
            </w:tcBorders>
            <w:shd w:val="clear" w:color="auto" w:fill="D9D9D9" w:themeFill="background1" w:themeFillShade="D9"/>
            <w:vAlign w:val="center"/>
          </w:tcPr>
          <w:p w14:paraId="52A351C8" w14:textId="05264059" w:rsidR="008D08A9" w:rsidRPr="003224E7" w:rsidRDefault="008D08A9" w:rsidP="008D08A9">
            <w:pPr>
              <w:pStyle w:val="NoSpacing"/>
              <w:jc w:val="center"/>
              <w:rPr>
                <w:rFonts w:ascii="Times New Roman" w:hAnsi="Times New Roman" w:cs="Times New Roman"/>
                <w:b/>
                <w:bCs/>
                <w:sz w:val="20"/>
                <w:szCs w:val="20"/>
              </w:rPr>
            </w:pPr>
            <w:r w:rsidRPr="003224E7">
              <w:rPr>
                <w:rFonts w:ascii="Times New Roman" w:hAnsi="Times New Roman" w:cs="Times New Roman"/>
                <w:b/>
                <w:bCs/>
                <w:sz w:val="20"/>
                <w:szCs w:val="20"/>
              </w:rPr>
              <w:t>2,035</w:t>
            </w:r>
            <w:r w:rsidRPr="003224E7">
              <w:rPr>
                <w:rStyle w:val="FootnoteReference"/>
                <w:rFonts w:ascii="Times New Roman" w:hAnsi="Times New Roman" w:cs="Times New Roman"/>
                <w:b/>
                <w:bCs/>
                <w:sz w:val="20"/>
                <w:szCs w:val="20"/>
              </w:rPr>
              <w:footnoteReference w:id="12"/>
            </w:r>
          </w:p>
        </w:tc>
        <w:tc>
          <w:tcPr>
            <w:tcW w:w="905" w:type="dxa"/>
            <w:tcBorders>
              <w:top w:val="single" w:sz="18" w:space="0" w:color="auto"/>
              <w:bottom w:val="single" w:sz="18" w:space="0" w:color="auto"/>
            </w:tcBorders>
            <w:shd w:val="clear" w:color="auto" w:fill="D9D9D9" w:themeFill="background1" w:themeFillShade="D9"/>
            <w:vAlign w:val="center"/>
          </w:tcPr>
          <w:p w14:paraId="5E854051" w14:textId="77777777" w:rsidR="008D08A9" w:rsidRPr="003224E7" w:rsidRDefault="008D08A9" w:rsidP="008D08A9">
            <w:pPr>
              <w:pStyle w:val="NoSpacing"/>
              <w:jc w:val="center"/>
              <w:rPr>
                <w:rFonts w:ascii="Times New Roman" w:hAnsi="Times New Roman" w:cs="Times New Roman"/>
                <w:b/>
                <w:bCs/>
                <w:sz w:val="20"/>
                <w:szCs w:val="20"/>
              </w:rPr>
            </w:pPr>
            <w:r w:rsidRPr="003224E7">
              <w:rPr>
                <w:rFonts w:ascii="Times New Roman" w:hAnsi="Times New Roman" w:cs="Times New Roman"/>
                <w:b/>
                <w:bCs/>
                <w:sz w:val="20"/>
                <w:szCs w:val="20"/>
              </w:rPr>
              <w:t>-4.61</w:t>
            </w:r>
          </w:p>
        </w:tc>
        <w:tc>
          <w:tcPr>
            <w:tcW w:w="816" w:type="dxa"/>
            <w:tcBorders>
              <w:top w:val="single" w:sz="18" w:space="0" w:color="auto"/>
              <w:bottom w:val="single" w:sz="18" w:space="0" w:color="auto"/>
            </w:tcBorders>
            <w:shd w:val="clear" w:color="auto" w:fill="D9D9D9" w:themeFill="background1" w:themeFillShade="D9"/>
            <w:vAlign w:val="center"/>
          </w:tcPr>
          <w:p w14:paraId="39015B63" w14:textId="77777777" w:rsidR="008D08A9" w:rsidRPr="003224E7" w:rsidRDefault="008D08A9" w:rsidP="008D08A9">
            <w:pPr>
              <w:pStyle w:val="NoSpacing"/>
              <w:jc w:val="center"/>
              <w:rPr>
                <w:rFonts w:ascii="Times New Roman" w:hAnsi="Times New Roman" w:cs="Times New Roman"/>
                <w:b/>
                <w:bCs/>
                <w:sz w:val="20"/>
                <w:szCs w:val="20"/>
              </w:rPr>
            </w:pPr>
            <w:r w:rsidRPr="003224E7">
              <w:rPr>
                <w:rFonts w:ascii="Times New Roman" w:hAnsi="Times New Roman" w:cs="Times New Roman"/>
                <w:b/>
                <w:bCs/>
                <w:sz w:val="20"/>
                <w:szCs w:val="20"/>
              </w:rPr>
              <w:t>-2.82</w:t>
            </w:r>
          </w:p>
        </w:tc>
        <w:tc>
          <w:tcPr>
            <w:tcW w:w="816" w:type="dxa"/>
            <w:tcBorders>
              <w:top w:val="single" w:sz="18" w:space="0" w:color="auto"/>
              <w:bottom w:val="single" w:sz="18" w:space="0" w:color="auto"/>
            </w:tcBorders>
            <w:shd w:val="clear" w:color="auto" w:fill="D9D9D9" w:themeFill="background1" w:themeFillShade="D9"/>
            <w:vAlign w:val="center"/>
          </w:tcPr>
          <w:p w14:paraId="041BB764" w14:textId="77777777" w:rsidR="008D08A9" w:rsidRPr="003224E7" w:rsidRDefault="008D08A9" w:rsidP="008D08A9">
            <w:pPr>
              <w:pStyle w:val="NoSpacing"/>
              <w:jc w:val="center"/>
              <w:rPr>
                <w:rFonts w:ascii="Times New Roman" w:hAnsi="Times New Roman" w:cs="Times New Roman"/>
                <w:b/>
                <w:bCs/>
                <w:sz w:val="20"/>
                <w:szCs w:val="20"/>
              </w:rPr>
            </w:pPr>
            <w:r w:rsidRPr="003224E7">
              <w:rPr>
                <w:rFonts w:ascii="Times New Roman" w:hAnsi="Times New Roman" w:cs="Times New Roman"/>
                <w:b/>
                <w:bCs/>
                <w:sz w:val="20"/>
                <w:szCs w:val="20"/>
              </w:rPr>
              <w:t>-2.95</w:t>
            </w:r>
          </w:p>
        </w:tc>
        <w:tc>
          <w:tcPr>
            <w:tcW w:w="3524" w:type="dxa"/>
            <w:tcBorders>
              <w:top w:val="single" w:sz="18" w:space="0" w:color="auto"/>
              <w:bottom w:val="single" w:sz="18" w:space="0" w:color="auto"/>
            </w:tcBorders>
            <w:shd w:val="clear" w:color="auto" w:fill="D9D9D9" w:themeFill="background1" w:themeFillShade="D9"/>
            <w:vAlign w:val="center"/>
          </w:tcPr>
          <w:p w14:paraId="36572350" w14:textId="5B7946A9" w:rsidR="008D08A9" w:rsidRPr="003224E7" w:rsidRDefault="008D08A9" w:rsidP="008D08A9">
            <w:pPr>
              <w:pStyle w:val="NoSpacing"/>
              <w:jc w:val="center"/>
              <w:rPr>
                <w:rFonts w:ascii="Times New Roman" w:hAnsi="Times New Roman" w:cs="Times New Roman"/>
                <w:b/>
                <w:bCs/>
                <w:sz w:val="20"/>
                <w:szCs w:val="20"/>
              </w:rPr>
            </w:pPr>
            <w:r w:rsidRPr="003224E7">
              <w:rPr>
                <w:rFonts w:ascii="Times New Roman" w:hAnsi="Times New Roman" w:cs="Times New Roman"/>
                <w:b/>
                <w:bCs/>
                <w:sz w:val="20"/>
                <w:szCs w:val="20"/>
              </w:rPr>
              <w:t>AFOLU sectors and components listed above</w:t>
            </w:r>
          </w:p>
        </w:tc>
      </w:tr>
      <w:tr w:rsidR="008D08A9" w:rsidRPr="003224E7" w14:paraId="40469EDD" w14:textId="77777777" w:rsidTr="000A4C4D">
        <w:trPr>
          <w:trHeight w:val="467"/>
        </w:trPr>
        <w:tc>
          <w:tcPr>
            <w:tcW w:w="1690" w:type="dxa"/>
            <w:tcBorders>
              <w:top w:val="single" w:sz="18" w:space="0" w:color="auto"/>
              <w:bottom w:val="single" w:sz="12" w:space="0" w:color="auto"/>
            </w:tcBorders>
            <w:vAlign w:val="center"/>
          </w:tcPr>
          <w:p w14:paraId="254CAD59" w14:textId="1B1FCDAB" w:rsidR="008D08A9" w:rsidRPr="003224E7" w:rsidRDefault="008D08A9" w:rsidP="008D08A9">
            <w:pPr>
              <w:pStyle w:val="TableHeading"/>
              <w:rPr>
                <w:rFonts w:ascii="Times New Roman" w:hAnsi="Times New Roman" w:cs="Times New Roman"/>
                <w:b w:val="0"/>
                <w:bCs w:val="0"/>
                <w:sz w:val="20"/>
                <w:szCs w:val="20"/>
              </w:rPr>
            </w:pPr>
            <w:r w:rsidRPr="003224E7">
              <w:rPr>
                <w:rFonts w:ascii="Times New Roman" w:hAnsi="Times New Roman" w:cs="Times New Roman"/>
                <w:b w:val="0"/>
                <w:bCs w:val="0"/>
                <w:sz w:val="20"/>
                <w:szCs w:val="20"/>
              </w:rPr>
              <w:t>VT GHG emissions</w:t>
            </w:r>
            <w:r w:rsidRPr="003224E7">
              <w:rPr>
                <w:rStyle w:val="FootnoteReference"/>
                <w:rFonts w:ascii="Times New Roman" w:hAnsi="Times New Roman" w:cs="Times New Roman"/>
                <w:b w:val="0"/>
                <w:bCs w:val="0"/>
                <w:sz w:val="20"/>
                <w:szCs w:val="20"/>
              </w:rPr>
              <w:footnoteReference w:id="13"/>
            </w:r>
          </w:p>
        </w:tc>
        <w:tc>
          <w:tcPr>
            <w:tcW w:w="1604" w:type="dxa"/>
            <w:tcBorders>
              <w:top w:val="single" w:sz="18" w:space="0" w:color="auto"/>
              <w:bottom w:val="single" w:sz="12" w:space="0" w:color="auto"/>
            </w:tcBorders>
            <w:vAlign w:val="center"/>
          </w:tcPr>
          <w:p w14:paraId="09A301FB" w14:textId="27DACC26" w:rsidR="008D08A9" w:rsidRPr="003224E7" w:rsidRDefault="008D08A9" w:rsidP="008D08A9">
            <w:pPr>
              <w:pStyle w:val="NoSpacing"/>
              <w:rPr>
                <w:rFonts w:ascii="Times New Roman" w:hAnsi="Times New Roman" w:cs="Times New Roman"/>
                <w:sz w:val="20"/>
                <w:szCs w:val="20"/>
              </w:rPr>
            </w:pPr>
          </w:p>
        </w:tc>
        <w:tc>
          <w:tcPr>
            <w:tcW w:w="905" w:type="dxa"/>
            <w:tcBorders>
              <w:top w:val="single" w:sz="18" w:space="0" w:color="auto"/>
              <w:bottom w:val="single" w:sz="12" w:space="0" w:color="auto"/>
            </w:tcBorders>
            <w:vAlign w:val="center"/>
          </w:tcPr>
          <w:p w14:paraId="4D8FBB12" w14:textId="43988004"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+7.41</w:t>
            </w:r>
          </w:p>
        </w:tc>
        <w:tc>
          <w:tcPr>
            <w:tcW w:w="816" w:type="dxa"/>
            <w:tcBorders>
              <w:top w:val="single" w:sz="18" w:space="0" w:color="auto"/>
              <w:bottom w:val="single" w:sz="12" w:space="0" w:color="auto"/>
            </w:tcBorders>
            <w:vAlign w:val="center"/>
          </w:tcPr>
          <w:p w14:paraId="1E0886EB" w14:textId="183DAAEE"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+8.68</w:t>
            </w:r>
          </w:p>
        </w:tc>
        <w:tc>
          <w:tcPr>
            <w:tcW w:w="816" w:type="dxa"/>
            <w:tcBorders>
              <w:top w:val="single" w:sz="18" w:space="0" w:color="auto"/>
              <w:bottom w:val="single" w:sz="12" w:space="0" w:color="auto"/>
            </w:tcBorders>
            <w:vAlign w:val="center"/>
          </w:tcPr>
          <w:p w14:paraId="482CB5FE" w14:textId="0DAB354E"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+7.22</w:t>
            </w:r>
          </w:p>
        </w:tc>
        <w:tc>
          <w:tcPr>
            <w:tcW w:w="3524" w:type="dxa"/>
            <w:tcBorders>
              <w:top w:val="single" w:sz="18" w:space="0" w:color="auto"/>
              <w:bottom w:val="single" w:sz="12" w:space="0" w:color="auto"/>
            </w:tcBorders>
            <w:vAlign w:val="center"/>
          </w:tcPr>
          <w:p w14:paraId="764EBC31" w14:textId="03C4DB3A" w:rsidR="008D08A9" w:rsidRPr="003224E7" w:rsidRDefault="008D08A9" w:rsidP="008D08A9">
            <w:pPr>
              <w:pStyle w:val="NoSpacing"/>
              <w:jc w:val="center"/>
              <w:rPr>
                <w:rFonts w:ascii="Times New Roman" w:hAnsi="Times New Roman" w:cs="Times New Roman"/>
                <w:sz w:val="20"/>
                <w:szCs w:val="20"/>
              </w:rPr>
            </w:pPr>
            <w:r w:rsidRPr="003224E7">
              <w:rPr>
                <w:rFonts w:ascii="Times New Roman" w:hAnsi="Times New Roman" w:cs="Times New Roman"/>
                <w:sz w:val="20"/>
                <w:szCs w:val="20"/>
              </w:rPr>
              <w:t>Electricity, heating, transportation, fossil fuel industry, industrial processes, waste management</w:t>
            </w:r>
            <w:r w:rsidRPr="003224E7">
              <w:rPr>
                <w:rStyle w:val="FootnoteReference"/>
                <w:rFonts w:ascii="Times New Roman" w:hAnsi="Times New Roman" w:cs="Times New Roman"/>
                <w:sz w:val="20"/>
                <w:szCs w:val="20"/>
              </w:rPr>
              <w:footnoteReference w:id="14"/>
            </w:r>
            <w:r w:rsidRPr="003224E7">
              <w:rPr>
                <w:rFonts w:ascii="Times New Roman" w:hAnsi="Times New Roman" w:cs="Times New Roman"/>
                <w:sz w:val="20"/>
                <w:szCs w:val="20"/>
              </w:rPr>
              <w:t xml:space="preserve"> </w:t>
            </w:r>
          </w:p>
        </w:tc>
      </w:tr>
      <w:tr w:rsidR="008D08A9" w:rsidRPr="003224E7" w14:paraId="466754A2" w14:textId="77777777" w:rsidTr="000A4C4D">
        <w:tc>
          <w:tcPr>
            <w:tcW w:w="1690" w:type="dxa"/>
            <w:tcBorders>
              <w:top w:val="single" w:sz="18" w:space="0" w:color="auto"/>
              <w:bottom w:val="single" w:sz="4" w:space="0" w:color="auto"/>
            </w:tcBorders>
            <w:shd w:val="clear" w:color="auto" w:fill="D9D9D9" w:themeFill="background1" w:themeFillShade="D9"/>
            <w:vAlign w:val="center"/>
          </w:tcPr>
          <w:p w14:paraId="70496923" w14:textId="74072F62" w:rsidR="008D08A9" w:rsidRPr="003224E7" w:rsidRDefault="008D08A9" w:rsidP="008D08A9">
            <w:pPr>
              <w:pStyle w:val="TableHeading"/>
              <w:rPr>
                <w:rFonts w:ascii="Times New Roman" w:hAnsi="Times New Roman" w:cs="Times New Roman"/>
                <w:b w:val="0"/>
                <w:bCs w:val="0"/>
                <w:sz w:val="20"/>
                <w:szCs w:val="20"/>
              </w:rPr>
            </w:pPr>
            <w:r w:rsidRPr="003224E7">
              <w:rPr>
                <w:rFonts w:ascii="Times New Roman" w:hAnsi="Times New Roman" w:cs="Times New Roman"/>
                <w:sz w:val="20"/>
                <w:szCs w:val="20"/>
              </w:rPr>
              <w:t>Net of AFOLU sector and VT GHG</w:t>
            </w:r>
            <w:r w:rsidRPr="003224E7">
              <w:rPr>
                <w:rFonts w:ascii="Times New Roman" w:hAnsi="Times New Roman" w:cs="Times New Roman"/>
                <w:b w:val="0"/>
                <w:bCs w:val="0"/>
                <w:sz w:val="20"/>
                <w:szCs w:val="20"/>
              </w:rPr>
              <w:t xml:space="preserve"> </w:t>
            </w:r>
            <w:r w:rsidRPr="003224E7">
              <w:rPr>
                <w:rFonts w:ascii="Times New Roman" w:hAnsi="Times New Roman" w:cs="Times New Roman"/>
                <w:sz w:val="20"/>
                <w:szCs w:val="20"/>
              </w:rPr>
              <w:t>emissions</w:t>
            </w:r>
            <w:r w:rsidRPr="003224E7">
              <w:rPr>
                <w:rStyle w:val="FootnoteReference"/>
                <w:rFonts w:ascii="Times New Roman" w:hAnsi="Times New Roman" w:cs="Times New Roman"/>
                <w:b w:val="0"/>
                <w:bCs w:val="0"/>
                <w:sz w:val="20"/>
                <w:szCs w:val="20"/>
              </w:rPr>
              <w:footnoteReference w:id="15"/>
            </w:r>
          </w:p>
        </w:tc>
        <w:tc>
          <w:tcPr>
            <w:tcW w:w="1604" w:type="dxa"/>
            <w:tcBorders>
              <w:top w:val="single" w:sz="18" w:space="0" w:color="auto"/>
              <w:bottom w:val="single" w:sz="4" w:space="0" w:color="auto"/>
            </w:tcBorders>
            <w:shd w:val="clear" w:color="auto" w:fill="D9D9D9" w:themeFill="background1" w:themeFillShade="D9"/>
            <w:vAlign w:val="center"/>
          </w:tcPr>
          <w:p w14:paraId="4B535049" w14:textId="77777777" w:rsidR="008D08A9" w:rsidRPr="003224E7" w:rsidRDefault="008D08A9" w:rsidP="008D08A9">
            <w:pPr>
              <w:pStyle w:val="NoSpacing"/>
              <w:jc w:val="center"/>
              <w:rPr>
                <w:rFonts w:ascii="Times New Roman" w:hAnsi="Times New Roman" w:cs="Times New Roman"/>
                <w:sz w:val="20"/>
                <w:szCs w:val="20"/>
              </w:rPr>
            </w:pPr>
          </w:p>
        </w:tc>
        <w:tc>
          <w:tcPr>
            <w:tcW w:w="905" w:type="dxa"/>
            <w:tcBorders>
              <w:top w:val="single" w:sz="18" w:space="0" w:color="auto"/>
              <w:bottom w:val="single" w:sz="4" w:space="0" w:color="auto"/>
            </w:tcBorders>
            <w:shd w:val="clear" w:color="auto" w:fill="D9D9D9" w:themeFill="background1" w:themeFillShade="D9"/>
            <w:vAlign w:val="center"/>
          </w:tcPr>
          <w:p w14:paraId="563BE200" w14:textId="4C73F9A9" w:rsidR="008D08A9" w:rsidRPr="003224E7" w:rsidRDefault="008D08A9" w:rsidP="008D08A9">
            <w:pPr>
              <w:pStyle w:val="NoSpacing"/>
              <w:jc w:val="center"/>
              <w:rPr>
                <w:rFonts w:ascii="Times New Roman" w:hAnsi="Times New Roman" w:cs="Times New Roman"/>
                <w:b/>
                <w:bCs/>
                <w:sz w:val="20"/>
                <w:szCs w:val="20"/>
              </w:rPr>
            </w:pPr>
            <w:r w:rsidRPr="003224E7">
              <w:rPr>
                <w:rFonts w:ascii="Times New Roman" w:hAnsi="Times New Roman" w:cs="Times New Roman"/>
                <w:b/>
                <w:bCs/>
                <w:sz w:val="20"/>
                <w:szCs w:val="20"/>
              </w:rPr>
              <w:t>+2.8</w:t>
            </w:r>
          </w:p>
        </w:tc>
        <w:tc>
          <w:tcPr>
            <w:tcW w:w="816" w:type="dxa"/>
            <w:tcBorders>
              <w:top w:val="single" w:sz="18" w:space="0" w:color="auto"/>
              <w:bottom w:val="single" w:sz="4" w:space="0" w:color="auto"/>
            </w:tcBorders>
            <w:shd w:val="clear" w:color="auto" w:fill="D9D9D9" w:themeFill="background1" w:themeFillShade="D9"/>
            <w:vAlign w:val="center"/>
          </w:tcPr>
          <w:p w14:paraId="5259FFE7" w14:textId="10D31A78" w:rsidR="008D08A9" w:rsidRPr="003224E7" w:rsidRDefault="008D08A9" w:rsidP="008D08A9">
            <w:pPr>
              <w:pStyle w:val="NoSpacing"/>
              <w:jc w:val="center"/>
              <w:rPr>
                <w:rFonts w:ascii="Times New Roman" w:hAnsi="Times New Roman" w:cs="Times New Roman"/>
                <w:b/>
                <w:bCs/>
                <w:sz w:val="20"/>
                <w:szCs w:val="20"/>
              </w:rPr>
            </w:pPr>
            <w:r w:rsidRPr="003224E7">
              <w:rPr>
                <w:rFonts w:ascii="Times New Roman" w:hAnsi="Times New Roman" w:cs="Times New Roman"/>
                <w:b/>
                <w:bCs/>
                <w:sz w:val="20"/>
                <w:szCs w:val="20"/>
              </w:rPr>
              <w:t>+5.86</w:t>
            </w:r>
          </w:p>
        </w:tc>
        <w:tc>
          <w:tcPr>
            <w:tcW w:w="816" w:type="dxa"/>
            <w:tcBorders>
              <w:top w:val="single" w:sz="18" w:space="0" w:color="auto"/>
              <w:bottom w:val="single" w:sz="4" w:space="0" w:color="auto"/>
            </w:tcBorders>
            <w:shd w:val="clear" w:color="auto" w:fill="D9D9D9" w:themeFill="background1" w:themeFillShade="D9"/>
            <w:vAlign w:val="center"/>
          </w:tcPr>
          <w:p w14:paraId="61BB1BF4" w14:textId="7C289E4A" w:rsidR="008D08A9" w:rsidRPr="003224E7" w:rsidRDefault="008D08A9" w:rsidP="008D08A9">
            <w:pPr>
              <w:pStyle w:val="NoSpacing"/>
              <w:jc w:val="center"/>
              <w:rPr>
                <w:rFonts w:ascii="Times New Roman" w:hAnsi="Times New Roman" w:cs="Times New Roman"/>
                <w:b/>
                <w:bCs/>
                <w:sz w:val="20"/>
                <w:szCs w:val="20"/>
              </w:rPr>
            </w:pPr>
            <w:r w:rsidRPr="003224E7">
              <w:rPr>
                <w:rFonts w:ascii="Times New Roman" w:hAnsi="Times New Roman" w:cs="Times New Roman"/>
                <w:b/>
                <w:bCs/>
                <w:sz w:val="20"/>
                <w:szCs w:val="20"/>
              </w:rPr>
              <w:t>+4.27</w:t>
            </w:r>
          </w:p>
        </w:tc>
        <w:tc>
          <w:tcPr>
            <w:tcW w:w="3524" w:type="dxa"/>
            <w:tcBorders>
              <w:top w:val="single" w:sz="18" w:space="0" w:color="auto"/>
              <w:bottom w:val="single" w:sz="4" w:space="0" w:color="auto"/>
            </w:tcBorders>
            <w:shd w:val="clear" w:color="auto" w:fill="D9D9D9" w:themeFill="background1" w:themeFillShade="D9"/>
            <w:vAlign w:val="center"/>
          </w:tcPr>
          <w:p w14:paraId="622C5414" w14:textId="7E750818" w:rsidR="008D08A9" w:rsidRPr="003224E7" w:rsidRDefault="008D08A9" w:rsidP="008D08A9">
            <w:pPr>
              <w:pStyle w:val="NoSpacing"/>
              <w:jc w:val="center"/>
              <w:rPr>
                <w:rFonts w:ascii="Times New Roman" w:hAnsi="Times New Roman" w:cs="Times New Roman"/>
                <w:b/>
                <w:bCs/>
                <w:sz w:val="20"/>
                <w:szCs w:val="20"/>
              </w:rPr>
            </w:pPr>
            <w:r w:rsidRPr="003224E7">
              <w:rPr>
                <w:rFonts w:ascii="Times New Roman" w:hAnsi="Times New Roman" w:cs="Times New Roman"/>
                <w:b/>
                <w:bCs/>
                <w:sz w:val="20"/>
                <w:szCs w:val="20"/>
              </w:rPr>
              <w:t>All sectors listed above</w:t>
            </w:r>
          </w:p>
        </w:tc>
      </w:tr>
    </w:tbl>
    <w:p w14:paraId="339CA237" w14:textId="6A8AF9AA" w:rsidR="00E66A6C" w:rsidRDefault="00D32A56" w:rsidP="003224E7">
      <w:pPr>
        <w:spacing w:after="0" w:line="360" w:lineRule="auto"/>
        <w:ind w:firstLine="720"/>
        <w:rPr>
          <w:rFonts w:ascii="Times New Roman" w:hAnsi="Times New Roman" w:cs="Times New Roman"/>
          <w:sz w:val="24"/>
        </w:rPr>
      </w:pPr>
      <w:r>
        <w:rPr>
          <w:rFonts w:ascii="Times New Roman" w:hAnsi="Times New Roman" w:cs="Times New Roman"/>
          <w:sz w:val="24"/>
        </w:rPr>
        <w:lastRenderedPageBreak/>
        <w:t>T</w:t>
      </w:r>
      <w:r w:rsidR="00A01146" w:rsidRPr="00C93218">
        <w:rPr>
          <w:rFonts w:ascii="Times New Roman" w:hAnsi="Times New Roman" w:cs="Times New Roman"/>
          <w:sz w:val="24"/>
        </w:rPr>
        <w:t xml:space="preserve">he </w:t>
      </w:r>
      <w:r w:rsidR="00A01146" w:rsidRPr="00C93218">
        <w:rPr>
          <w:rFonts w:ascii="Times New Roman" w:hAnsi="Times New Roman" w:cs="Times New Roman"/>
          <w:i/>
          <w:iCs/>
          <w:sz w:val="24"/>
        </w:rPr>
        <w:t>Carbon Budget</w:t>
      </w:r>
      <w:r w:rsidR="00A01146" w:rsidRPr="00C93218">
        <w:rPr>
          <w:rFonts w:ascii="Times New Roman" w:hAnsi="Times New Roman" w:cs="Times New Roman"/>
          <w:sz w:val="24"/>
        </w:rPr>
        <w:t xml:space="preserve"> shows a </w:t>
      </w:r>
      <w:r w:rsidR="00D30B69">
        <w:rPr>
          <w:rFonts w:ascii="Times New Roman" w:hAnsi="Times New Roman" w:cs="Times New Roman"/>
          <w:sz w:val="24"/>
        </w:rPr>
        <w:t>36</w:t>
      </w:r>
      <w:r w:rsidR="00A01146" w:rsidRPr="00C93218">
        <w:rPr>
          <w:rFonts w:ascii="Times New Roman" w:hAnsi="Times New Roman" w:cs="Times New Roman"/>
          <w:sz w:val="24"/>
        </w:rPr>
        <w:t xml:space="preserve">% decline in the strength of </w:t>
      </w:r>
      <w:r w:rsidR="003224E7">
        <w:rPr>
          <w:rFonts w:ascii="Times New Roman" w:hAnsi="Times New Roman" w:cs="Times New Roman"/>
          <w:sz w:val="24"/>
        </w:rPr>
        <w:t>Vermont’s</w:t>
      </w:r>
      <w:r w:rsidR="00A01146" w:rsidRPr="00C93218">
        <w:rPr>
          <w:rFonts w:ascii="Times New Roman" w:hAnsi="Times New Roman" w:cs="Times New Roman"/>
          <w:sz w:val="24"/>
        </w:rPr>
        <w:t xml:space="preserve"> AFOLU carbon sink since 1990</w:t>
      </w:r>
      <w:r w:rsidR="00250CD8">
        <w:rPr>
          <w:rFonts w:ascii="Times New Roman" w:hAnsi="Times New Roman" w:cs="Times New Roman"/>
          <w:sz w:val="24"/>
        </w:rPr>
        <w:t xml:space="preserve"> (decline from -4.6</w:t>
      </w:r>
      <w:r w:rsidR="000B68F7">
        <w:rPr>
          <w:rFonts w:ascii="Times New Roman" w:hAnsi="Times New Roman" w:cs="Times New Roman"/>
          <w:sz w:val="24"/>
        </w:rPr>
        <w:t>1</w:t>
      </w:r>
      <w:r w:rsidR="00250CD8">
        <w:rPr>
          <w:rFonts w:ascii="Times New Roman" w:hAnsi="Times New Roman" w:cs="Times New Roman"/>
          <w:sz w:val="24"/>
        </w:rPr>
        <w:t xml:space="preserve"> to -2.95 MMT CO</w:t>
      </w:r>
      <w:r w:rsidR="00250CD8" w:rsidRPr="00707DAE">
        <w:rPr>
          <w:rFonts w:ascii="Times New Roman" w:hAnsi="Times New Roman" w:cs="Times New Roman"/>
          <w:sz w:val="24"/>
          <w:vertAlign w:val="subscript"/>
        </w:rPr>
        <w:t>2</w:t>
      </w:r>
      <w:r w:rsidR="00250CD8">
        <w:rPr>
          <w:rFonts w:ascii="Times New Roman" w:hAnsi="Times New Roman" w:cs="Times New Roman"/>
          <w:sz w:val="24"/>
        </w:rPr>
        <w:t>e</w:t>
      </w:r>
      <w:r w:rsidR="00707DAE">
        <w:rPr>
          <w:rFonts w:ascii="Times New Roman" w:hAnsi="Times New Roman" w:cs="Times New Roman"/>
          <w:sz w:val="24"/>
        </w:rPr>
        <w:t>)</w:t>
      </w:r>
      <w:r w:rsidR="00A01146" w:rsidRPr="00C93218">
        <w:rPr>
          <w:rFonts w:ascii="Times New Roman" w:hAnsi="Times New Roman" w:cs="Times New Roman"/>
          <w:sz w:val="24"/>
        </w:rPr>
        <w:t xml:space="preserve">. Though carbon flux estimates should be interpreted with caution because of data limitations, methodological differences, and lack of uncertainty around estimates, the largest change in net flux </w:t>
      </w:r>
      <w:r w:rsidR="00664ED6">
        <w:rPr>
          <w:rFonts w:ascii="Times New Roman" w:hAnsi="Times New Roman" w:cs="Times New Roman"/>
          <w:sz w:val="24"/>
        </w:rPr>
        <w:t xml:space="preserve">over this time occurred </w:t>
      </w:r>
      <w:r w:rsidR="00A01146" w:rsidRPr="00C93218">
        <w:rPr>
          <w:rFonts w:ascii="Times New Roman" w:hAnsi="Times New Roman" w:cs="Times New Roman"/>
          <w:sz w:val="24"/>
        </w:rPr>
        <w:t xml:space="preserve">in the forest sector. Since 1990, wetland and waterbodies, grasslands and shrublands, and urban and developed </w:t>
      </w:r>
      <w:r>
        <w:rPr>
          <w:rFonts w:ascii="Times New Roman" w:hAnsi="Times New Roman" w:cs="Times New Roman"/>
          <w:sz w:val="24"/>
        </w:rPr>
        <w:t>lands</w:t>
      </w:r>
      <w:r w:rsidR="00A01146" w:rsidRPr="00C93218">
        <w:rPr>
          <w:rFonts w:ascii="Times New Roman" w:hAnsi="Times New Roman" w:cs="Times New Roman"/>
          <w:sz w:val="24"/>
        </w:rPr>
        <w:t xml:space="preserve"> saw </w:t>
      </w:r>
      <w:proofErr w:type="gramStart"/>
      <w:r w:rsidR="00A01146" w:rsidRPr="00C93218">
        <w:rPr>
          <w:rFonts w:ascii="Times New Roman" w:hAnsi="Times New Roman" w:cs="Times New Roman"/>
          <w:sz w:val="24"/>
        </w:rPr>
        <w:t>fairly stable</w:t>
      </w:r>
      <w:proofErr w:type="gramEnd"/>
      <w:r w:rsidR="00A01146" w:rsidRPr="00C93218">
        <w:rPr>
          <w:rFonts w:ascii="Times New Roman" w:hAnsi="Times New Roman" w:cs="Times New Roman"/>
          <w:sz w:val="24"/>
        </w:rPr>
        <w:t xml:space="preserve"> annual net flux rates</w:t>
      </w:r>
      <w:r w:rsidR="00F12DDC">
        <w:rPr>
          <w:rFonts w:ascii="Times New Roman" w:hAnsi="Times New Roman" w:cs="Times New Roman"/>
          <w:sz w:val="24"/>
        </w:rPr>
        <w:t>,</w:t>
      </w:r>
      <w:r w:rsidR="00664ED6">
        <w:rPr>
          <w:rFonts w:ascii="Times New Roman" w:hAnsi="Times New Roman" w:cs="Times New Roman"/>
          <w:sz w:val="24"/>
        </w:rPr>
        <w:t xml:space="preserve"> and</w:t>
      </w:r>
      <w:r w:rsidR="00A01146" w:rsidRPr="00C93218">
        <w:rPr>
          <w:rFonts w:ascii="Times New Roman" w:hAnsi="Times New Roman" w:cs="Times New Roman"/>
          <w:sz w:val="24"/>
        </w:rPr>
        <w:t xml:space="preserve"> emissions from the agricultural sector declined. Further investigation into this declining forest sector sink is warranted. </w:t>
      </w:r>
    </w:p>
    <w:p w14:paraId="120997DE" w14:textId="3FFF8258" w:rsidR="00E81BBC" w:rsidRPr="00ED3573" w:rsidRDefault="006F1ED4" w:rsidP="00E66A6C">
      <w:pPr>
        <w:spacing w:after="0" w:line="360" w:lineRule="auto"/>
        <w:ind w:firstLine="720"/>
        <w:rPr>
          <w:rFonts w:ascii="Times New Roman" w:hAnsi="Times New Roman" w:cs="Times New Roman"/>
          <w:sz w:val="24"/>
        </w:rPr>
      </w:pPr>
      <w:r w:rsidRPr="00C93218">
        <w:rPr>
          <w:rFonts w:ascii="Times New Roman" w:hAnsi="Times New Roman" w:cs="Times New Roman"/>
          <w:sz w:val="24"/>
        </w:rPr>
        <w:t xml:space="preserve">Vermont’s </w:t>
      </w:r>
      <w:r w:rsidR="006A45D0">
        <w:rPr>
          <w:rFonts w:ascii="Times New Roman" w:hAnsi="Times New Roman" w:cs="Times New Roman"/>
          <w:sz w:val="24"/>
        </w:rPr>
        <w:t xml:space="preserve">AFOLU sector </w:t>
      </w:r>
      <w:r w:rsidRPr="00C93218">
        <w:rPr>
          <w:rFonts w:ascii="Times New Roman" w:hAnsi="Times New Roman" w:cs="Times New Roman"/>
          <w:sz w:val="24"/>
        </w:rPr>
        <w:t>provide</w:t>
      </w:r>
      <w:r w:rsidR="006A45D0">
        <w:rPr>
          <w:rFonts w:ascii="Times New Roman" w:hAnsi="Times New Roman" w:cs="Times New Roman"/>
          <w:sz w:val="24"/>
        </w:rPr>
        <w:t>s</w:t>
      </w:r>
      <w:r w:rsidRPr="00C93218">
        <w:rPr>
          <w:rFonts w:ascii="Times New Roman" w:hAnsi="Times New Roman" w:cs="Times New Roman"/>
          <w:sz w:val="24"/>
        </w:rPr>
        <w:t xml:space="preserve"> dual GHG mitigation benefits due to </w:t>
      </w:r>
      <w:r w:rsidR="009D30DC">
        <w:rPr>
          <w:rFonts w:ascii="Times New Roman" w:hAnsi="Times New Roman" w:cs="Times New Roman"/>
          <w:sz w:val="24"/>
        </w:rPr>
        <w:t xml:space="preserve">its </w:t>
      </w:r>
      <w:r w:rsidRPr="00C93218">
        <w:rPr>
          <w:rFonts w:ascii="Times New Roman" w:hAnsi="Times New Roman" w:cs="Times New Roman"/>
          <w:sz w:val="24"/>
        </w:rPr>
        <w:t>ability to store carbon and prevent it from being emitted to the atmosphere and to sequester additional carbon from the atmosphere</w:t>
      </w:r>
      <w:r>
        <w:rPr>
          <w:rFonts w:ascii="Times New Roman" w:hAnsi="Times New Roman" w:cs="Times New Roman"/>
          <w:sz w:val="24"/>
        </w:rPr>
        <w:t xml:space="preserve">, and </w:t>
      </w:r>
      <w:r w:rsidR="00D605BD">
        <w:rPr>
          <w:rFonts w:ascii="Times New Roman" w:hAnsi="Times New Roman" w:cs="Times New Roman"/>
          <w:sz w:val="24"/>
        </w:rPr>
        <w:t xml:space="preserve">at </w:t>
      </w:r>
      <w:r w:rsidRPr="00C93218">
        <w:rPr>
          <w:rFonts w:ascii="Times New Roman" w:hAnsi="Times New Roman" w:cs="Times New Roman"/>
          <w:sz w:val="24"/>
        </w:rPr>
        <w:t>the same time</w:t>
      </w:r>
      <w:r>
        <w:rPr>
          <w:rFonts w:ascii="Times New Roman" w:hAnsi="Times New Roman" w:cs="Times New Roman"/>
          <w:sz w:val="24"/>
        </w:rPr>
        <w:t>,</w:t>
      </w:r>
      <w:r w:rsidRPr="00C93218">
        <w:rPr>
          <w:rFonts w:ascii="Times New Roman" w:hAnsi="Times New Roman" w:cs="Times New Roman"/>
          <w:sz w:val="24"/>
        </w:rPr>
        <w:t xml:space="preserve"> provide </w:t>
      </w:r>
      <w:r>
        <w:rPr>
          <w:rFonts w:ascii="Times New Roman" w:hAnsi="Times New Roman" w:cs="Times New Roman"/>
          <w:sz w:val="24"/>
        </w:rPr>
        <w:t xml:space="preserve">other </w:t>
      </w:r>
      <w:r w:rsidRPr="00C93218">
        <w:rPr>
          <w:rFonts w:ascii="Times New Roman" w:hAnsi="Times New Roman" w:cs="Times New Roman"/>
          <w:sz w:val="24"/>
        </w:rPr>
        <w:t xml:space="preserve">critical ecosystem services, like cycling water, reducing flooding, providing food, fiber, wood, and affording habitat to flora and fauna. </w:t>
      </w:r>
      <w:r w:rsidR="00922106">
        <w:rPr>
          <w:rFonts w:ascii="Times New Roman" w:hAnsi="Times New Roman" w:cs="Times New Roman"/>
          <w:sz w:val="24"/>
        </w:rPr>
        <w:t>T</w:t>
      </w:r>
      <w:r w:rsidR="00922106" w:rsidRPr="00C93218">
        <w:rPr>
          <w:rFonts w:ascii="Times New Roman" w:hAnsi="Times New Roman" w:cs="Times New Roman"/>
          <w:sz w:val="24"/>
        </w:rPr>
        <w:t xml:space="preserve">he capacity of Vermont’s </w:t>
      </w:r>
      <w:r w:rsidR="00922106">
        <w:rPr>
          <w:rFonts w:ascii="Times New Roman" w:hAnsi="Times New Roman" w:cs="Times New Roman"/>
          <w:sz w:val="24"/>
        </w:rPr>
        <w:t xml:space="preserve">AFOLU sector </w:t>
      </w:r>
      <w:r w:rsidR="00922106" w:rsidRPr="00C93218">
        <w:rPr>
          <w:rFonts w:ascii="Times New Roman" w:hAnsi="Times New Roman" w:cs="Times New Roman"/>
          <w:sz w:val="24"/>
        </w:rPr>
        <w:t xml:space="preserve">to continue to sequester and store carbon depends on </w:t>
      </w:r>
      <w:r w:rsidR="009D30DC">
        <w:rPr>
          <w:rFonts w:ascii="Times New Roman" w:hAnsi="Times New Roman" w:cs="Times New Roman"/>
          <w:sz w:val="24"/>
        </w:rPr>
        <w:t>its</w:t>
      </w:r>
      <w:r w:rsidR="00922106" w:rsidRPr="00C93218">
        <w:rPr>
          <w:rFonts w:ascii="Times New Roman" w:hAnsi="Times New Roman" w:cs="Times New Roman"/>
          <w:sz w:val="24"/>
        </w:rPr>
        <w:t xml:space="preserve"> continued existence (e.g., land use conversion to development releases stored carbon and prevents future sequestration), health (e.g., </w:t>
      </w:r>
      <w:r w:rsidR="00922106">
        <w:rPr>
          <w:rFonts w:ascii="Times New Roman" w:hAnsi="Times New Roman" w:cs="Times New Roman"/>
          <w:sz w:val="24"/>
        </w:rPr>
        <w:t>AFOLU sector can be</w:t>
      </w:r>
      <w:r w:rsidR="00922106" w:rsidRPr="00C93218">
        <w:rPr>
          <w:rFonts w:ascii="Times New Roman" w:hAnsi="Times New Roman" w:cs="Times New Roman"/>
          <w:sz w:val="24"/>
        </w:rPr>
        <w:t xml:space="preserve"> negatively affected by climate change, pollution, and degradation), and human decisions on land and water management, all of which can affect the rate</w:t>
      </w:r>
      <w:r w:rsidR="00922106">
        <w:rPr>
          <w:rFonts w:ascii="Times New Roman" w:hAnsi="Times New Roman" w:cs="Times New Roman"/>
          <w:sz w:val="24"/>
        </w:rPr>
        <w:t>s</w:t>
      </w:r>
      <w:r w:rsidR="00922106" w:rsidRPr="00C93218">
        <w:rPr>
          <w:rFonts w:ascii="Times New Roman" w:hAnsi="Times New Roman" w:cs="Times New Roman"/>
          <w:sz w:val="24"/>
        </w:rPr>
        <w:t xml:space="preserve"> of</w:t>
      </w:r>
      <w:r w:rsidR="00922106">
        <w:rPr>
          <w:rFonts w:ascii="Times New Roman" w:hAnsi="Times New Roman" w:cs="Times New Roman"/>
          <w:sz w:val="24"/>
        </w:rPr>
        <w:t xml:space="preserve"> carbon</w:t>
      </w:r>
      <w:r w:rsidR="00922106" w:rsidRPr="00C93218">
        <w:rPr>
          <w:rFonts w:ascii="Times New Roman" w:hAnsi="Times New Roman" w:cs="Times New Roman"/>
          <w:sz w:val="24"/>
        </w:rPr>
        <w:t xml:space="preserve"> sequestration and </w:t>
      </w:r>
      <w:r w:rsidR="00922106">
        <w:rPr>
          <w:rFonts w:ascii="Times New Roman" w:hAnsi="Times New Roman" w:cs="Times New Roman"/>
          <w:sz w:val="24"/>
        </w:rPr>
        <w:t xml:space="preserve">GHG </w:t>
      </w:r>
      <w:r w:rsidR="00922106" w:rsidRPr="00C93218">
        <w:rPr>
          <w:rFonts w:ascii="Times New Roman" w:hAnsi="Times New Roman" w:cs="Times New Roman"/>
          <w:sz w:val="24"/>
        </w:rPr>
        <w:t>emissions.</w:t>
      </w:r>
      <w:r w:rsidR="00E66A6C">
        <w:rPr>
          <w:rFonts w:ascii="Times New Roman" w:hAnsi="Times New Roman" w:cs="Times New Roman"/>
          <w:sz w:val="24"/>
        </w:rPr>
        <w:t xml:space="preserve"> </w:t>
      </w:r>
    </w:p>
    <w:p w14:paraId="5E94037B" w14:textId="77777777" w:rsidR="00E81BBC" w:rsidRDefault="00E81BBC" w:rsidP="00550BE7">
      <w:pPr>
        <w:pStyle w:val="NoSpacing"/>
        <w:spacing w:line="360" w:lineRule="auto"/>
        <w:rPr>
          <w:rFonts w:ascii="Times New Roman" w:hAnsi="Times New Roman" w:cs="Times New Roman"/>
          <w:b/>
          <w:bCs/>
          <w:sz w:val="28"/>
          <w:szCs w:val="24"/>
        </w:rPr>
      </w:pPr>
    </w:p>
    <w:p w14:paraId="53C3E843" w14:textId="266DD513" w:rsidR="0005308D" w:rsidRDefault="00560E34" w:rsidP="00550BE7">
      <w:pPr>
        <w:pStyle w:val="NoSpacing"/>
        <w:spacing w:line="360" w:lineRule="auto"/>
        <w:rPr>
          <w:rFonts w:ascii="Times New Roman" w:hAnsi="Times New Roman" w:cs="Times New Roman"/>
          <w:b/>
          <w:bCs/>
          <w:sz w:val="28"/>
          <w:szCs w:val="24"/>
        </w:rPr>
      </w:pPr>
      <w:commentRangeStart w:id="2"/>
      <w:r>
        <w:rPr>
          <w:rFonts w:ascii="Times New Roman" w:hAnsi="Times New Roman" w:cs="Times New Roman"/>
          <w:b/>
          <w:bCs/>
          <w:sz w:val="28"/>
          <w:szCs w:val="24"/>
        </w:rPr>
        <w:t>Recom</w:t>
      </w:r>
      <w:commentRangeEnd w:id="2"/>
      <w:r w:rsidR="00C16BE9">
        <w:rPr>
          <w:rStyle w:val="CommentReference"/>
          <w:rFonts w:ascii="Cambria" w:hAnsi="Cambria" w:cs="Cambria"/>
        </w:rPr>
        <w:commentReference w:id="2"/>
      </w:r>
      <w:r>
        <w:rPr>
          <w:rFonts w:ascii="Times New Roman" w:hAnsi="Times New Roman" w:cs="Times New Roman"/>
          <w:b/>
          <w:bCs/>
          <w:sz w:val="28"/>
          <w:szCs w:val="24"/>
        </w:rPr>
        <w:t>mendations for n</w:t>
      </w:r>
      <w:r w:rsidR="0005308D" w:rsidRPr="00432BAA">
        <w:rPr>
          <w:rFonts w:ascii="Times New Roman" w:hAnsi="Times New Roman" w:cs="Times New Roman"/>
          <w:b/>
          <w:bCs/>
          <w:sz w:val="28"/>
          <w:szCs w:val="24"/>
        </w:rPr>
        <w:t>ext steps</w:t>
      </w:r>
    </w:p>
    <w:p w14:paraId="6404766E" w14:textId="00736469" w:rsidR="00C126B6" w:rsidRDefault="004B4F15" w:rsidP="004B4F15">
      <w:pPr>
        <w:pStyle w:val="NoSpacing"/>
        <w:spacing w:line="360" w:lineRule="auto"/>
        <w:ind w:firstLine="720"/>
        <w:rPr>
          <w:rFonts w:ascii="Times New Roman" w:hAnsi="Times New Roman" w:cs="Times New Roman"/>
        </w:rPr>
      </w:pPr>
      <w:r w:rsidRPr="005162C5">
        <w:rPr>
          <w:rFonts w:ascii="Times New Roman" w:hAnsi="Times New Roman" w:cs="Times New Roman"/>
        </w:rPr>
        <w:t xml:space="preserve">The </w:t>
      </w:r>
      <w:r>
        <w:rPr>
          <w:rFonts w:ascii="Times New Roman" w:hAnsi="Times New Roman" w:cs="Times New Roman"/>
        </w:rPr>
        <w:t xml:space="preserve">2021 </w:t>
      </w:r>
      <w:r w:rsidRPr="00B442F5">
        <w:rPr>
          <w:rFonts w:ascii="Times New Roman" w:hAnsi="Times New Roman" w:cs="Times New Roman"/>
          <w:i/>
          <w:iCs/>
        </w:rPr>
        <w:t>Carbon Budget</w:t>
      </w:r>
      <w:r w:rsidRPr="005162C5">
        <w:rPr>
          <w:rFonts w:ascii="Times New Roman" w:hAnsi="Times New Roman" w:cs="Times New Roman"/>
        </w:rPr>
        <w:t xml:space="preserve"> </w:t>
      </w:r>
      <w:r>
        <w:rPr>
          <w:rFonts w:ascii="Times New Roman" w:hAnsi="Times New Roman" w:cs="Times New Roman"/>
        </w:rPr>
        <w:t>represents an important</w:t>
      </w:r>
      <w:r w:rsidRPr="005162C5">
        <w:rPr>
          <w:rFonts w:ascii="Times New Roman" w:hAnsi="Times New Roman" w:cs="Times New Roman"/>
        </w:rPr>
        <w:t xml:space="preserve"> first step to support the Vermont Climate Council in quantifying and tracking </w:t>
      </w:r>
      <w:r w:rsidR="00655B29">
        <w:rPr>
          <w:rFonts w:ascii="Times New Roman" w:hAnsi="Times New Roman" w:cs="Times New Roman"/>
        </w:rPr>
        <w:t xml:space="preserve">the </w:t>
      </w:r>
      <w:r w:rsidRPr="005162C5">
        <w:rPr>
          <w:rFonts w:ascii="Times New Roman" w:hAnsi="Times New Roman" w:cs="Times New Roman"/>
        </w:rPr>
        <w:t>GHG</w:t>
      </w:r>
      <w:r w:rsidR="00655B29">
        <w:rPr>
          <w:rFonts w:ascii="Times New Roman" w:hAnsi="Times New Roman" w:cs="Times New Roman"/>
        </w:rPr>
        <w:t xml:space="preserve"> flux of </w:t>
      </w:r>
      <w:r w:rsidRPr="005162C5">
        <w:rPr>
          <w:rFonts w:ascii="Times New Roman" w:hAnsi="Times New Roman" w:cs="Times New Roman"/>
        </w:rPr>
        <w:t xml:space="preserve">Vermont’s </w:t>
      </w:r>
      <w:r w:rsidR="00070487">
        <w:rPr>
          <w:rFonts w:ascii="Times New Roman" w:hAnsi="Times New Roman" w:cs="Times New Roman"/>
        </w:rPr>
        <w:t>AFOLU sector</w:t>
      </w:r>
      <w:r w:rsidRPr="005162C5">
        <w:rPr>
          <w:rFonts w:ascii="Times New Roman" w:hAnsi="Times New Roman" w:cs="Times New Roman"/>
        </w:rPr>
        <w:t xml:space="preserve">. </w:t>
      </w:r>
      <w:r w:rsidR="00655B29">
        <w:rPr>
          <w:rFonts w:ascii="Times New Roman" w:hAnsi="Times New Roman" w:cs="Times New Roman"/>
        </w:rPr>
        <w:t>An important concept highlight</w:t>
      </w:r>
      <w:r w:rsidR="005C447C">
        <w:rPr>
          <w:rFonts w:ascii="Times New Roman" w:hAnsi="Times New Roman" w:cs="Times New Roman"/>
        </w:rPr>
        <w:t>ed</w:t>
      </w:r>
      <w:r w:rsidR="00655B29">
        <w:rPr>
          <w:rFonts w:ascii="Times New Roman" w:hAnsi="Times New Roman" w:cs="Times New Roman"/>
        </w:rPr>
        <w:t xml:space="preserve"> by this effort is that</w:t>
      </w:r>
      <w:r w:rsidRPr="005162C5">
        <w:rPr>
          <w:rFonts w:ascii="Times New Roman" w:hAnsi="Times New Roman" w:cs="Times New Roman"/>
        </w:rPr>
        <w:t xml:space="preserve"> landowner and land manager actions can influence the </w:t>
      </w:r>
      <w:r w:rsidR="00F45E04">
        <w:rPr>
          <w:rFonts w:ascii="Times New Roman" w:hAnsi="Times New Roman" w:cs="Times New Roman"/>
        </w:rPr>
        <w:t>net flux</w:t>
      </w:r>
      <w:r w:rsidR="008E370D">
        <w:rPr>
          <w:rFonts w:ascii="Times New Roman" w:hAnsi="Times New Roman" w:cs="Times New Roman"/>
        </w:rPr>
        <w:t xml:space="preserve">. </w:t>
      </w:r>
      <w:r>
        <w:rPr>
          <w:rFonts w:ascii="Times New Roman" w:hAnsi="Times New Roman" w:cs="Times New Roman"/>
        </w:rPr>
        <w:t xml:space="preserve">To </w:t>
      </w:r>
      <w:r w:rsidR="008E370D">
        <w:rPr>
          <w:rFonts w:ascii="Times New Roman" w:hAnsi="Times New Roman" w:cs="Times New Roman"/>
        </w:rPr>
        <w:t xml:space="preserve">continue to improve our </w:t>
      </w:r>
      <w:r w:rsidR="00A56FD9">
        <w:rPr>
          <w:rFonts w:ascii="Times New Roman" w:hAnsi="Times New Roman" w:cs="Times New Roman"/>
        </w:rPr>
        <w:t>understanding</w:t>
      </w:r>
      <w:r w:rsidR="008E370D">
        <w:rPr>
          <w:rFonts w:ascii="Times New Roman" w:hAnsi="Times New Roman" w:cs="Times New Roman"/>
        </w:rPr>
        <w:t xml:space="preserve"> of </w:t>
      </w:r>
      <w:r w:rsidR="00A56FD9">
        <w:rPr>
          <w:rFonts w:ascii="Times New Roman" w:hAnsi="Times New Roman" w:cs="Times New Roman"/>
        </w:rPr>
        <w:t>the carbon dynamics of the AFOLU sector</w:t>
      </w:r>
      <w:r>
        <w:rPr>
          <w:rFonts w:ascii="Times New Roman" w:hAnsi="Times New Roman" w:cs="Times New Roman"/>
        </w:rPr>
        <w:t>, the following considerations are recommended as next steps:</w:t>
      </w:r>
    </w:p>
    <w:p w14:paraId="7B62595F" w14:textId="7C7BEBAF" w:rsidR="0026160F" w:rsidRPr="0026160F" w:rsidRDefault="00DF107E" w:rsidP="004B4F15">
      <w:pPr>
        <w:pStyle w:val="NoSpacing"/>
        <w:spacing w:line="360" w:lineRule="auto"/>
        <w:ind w:firstLine="360"/>
        <w:rPr>
          <w:rFonts w:ascii="Times New Roman" w:hAnsi="Times New Roman" w:cs="Times New Roman"/>
        </w:rPr>
      </w:pPr>
      <w:r>
        <w:rPr>
          <w:rFonts w:ascii="Times New Roman" w:hAnsi="Times New Roman" w:cs="Times New Roman"/>
        </w:rPr>
        <w:t>(</w:t>
      </w:r>
      <w:r w:rsidR="00573F4F">
        <w:rPr>
          <w:rFonts w:ascii="Times New Roman" w:hAnsi="Times New Roman" w:cs="Times New Roman"/>
        </w:rPr>
        <w:t xml:space="preserve">1) </w:t>
      </w:r>
      <w:r w:rsidR="00AD0CA6">
        <w:rPr>
          <w:rFonts w:ascii="Times New Roman" w:hAnsi="Times New Roman" w:cs="Times New Roman"/>
        </w:rPr>
        <w:t>Examine</w:t>
      </w:r>
      <w:r w:rsidR="0026160F" w:rsidRPr="0026160F">
        <w:rPr>
          <w:rFonts w:ascii="Times New Roman" w:hAnsi="Times New Roman" w:cs="Times New Roman"/>
        </w:rPr>
        <w:t xml:space="preserve"> methodological gaps </w:t>
      </w:r>
      <w:r w:rsidR="00AD0CA6">
        <w:rPr>
          <w:rFonts w:ascii="Times New Roman" w:hAnsi="Times New Roman" w:cs="Times New Roman"/>
        </w:rPr>
        <w:t>among</w:t>
      </w:r>
      <w:r w:rsidR="0026160F" w:rsidRPr="0026160F">
        <w:rPr>
          <w:rFonts w:ascii="Times New Roman" w:hAnsi="Times New Roman" w:cs="Times New Roman"/>
        </w:rPr>
        <w:t xml:space="preserve"> </w:t>
      </w:r>
      <w:r w:rsidR="00371C6B">
        <w:rPr>
          <w:rFonts w:ascii="Times New Roman" w:hAnsi="Times New Roman" w:cs="Times New Roman"/>
        </w:rPr>
        <w:t xml:space="preserve">GHG </w:t>
      </w:r>
      <w:r w:rsidR="0026160F" w:rsidRPr="0026160F">
        <w:rPr>
          <w:rFonts w:ascii="Times New Roman" w:hAnsi="Times New Roman" w:cs="Times New Roman"/>
        </w:rPr>
        <w:t>emission inventory tools</w:t>
      </w:r>
      <w:r w:rsidR="00C7567C">
        <w:rPr>
          <w:rFonts w:ascii="Times New Roman" w:hAnsi="Times New Roman" w:cs="Times New Roman"/>
        </w:rPr>
        <w:t xml:space="preserve"> and datasets</w:t>
      </w:r>
      <w:r w:rsidR="0026160F" w:rsidRPr="0026160F">
        <w:rPr>
          <w:rFonts w:ascii="Times New Roman" w:hAnsi="Times New Roman" w:cs="Times New Roman"/>
        </w:rPr>
        <w:t xml:space="preserve"> used by the State of Vermont</w:t>
      </w:r>
      <w:r w:rsidR="0025648A">
        <w:rPr>
          <w:rFonts w:ascii="Times New Roman" w:hAnsi="Times New Roman" w:cs="Times New Roman"/>
        </w:rPr>
        <w:t xml:space="preserve"> for the AFOLU sector</w:t>
      </w:r>
      <w:r w:rsidR="00641CBA">
        <w:rPr>
          <w:rFonts w:ascii="Times New Roman" w:hAnsi="Times New Roman" w:cs="Times New Roman"/>
        </w:rPr>
        <w:t xml:space="preserve"> </w:t>
      </w:r>
      <w:r w:rsidR="0026160F" w:rsidRPr="0026160F">
        <w:rPr>
          <w:rFonts w:ascii="Times New Roman" w:hAnsi="Times New Roman" w:cs="Times New Roman"/>
        </w:rPr>
        <w:t xml:space="preserve">and alignment with the Intergovernmental Panel on Climate Change (IPCC), Environmental Protection Agency (EPA), and peer states. </w:t>
      </w:r>
      <w:r w:rsidR="00D40F5E">
        <w:rPr>
          <w:rFonts w:ascii="Times New Roman" w:hAnsi="Times New Roman" w:cs="Times New Roman"/>
        </w:rPr>
        <w:t xml:space="preserve">Specifically, </w:t>
      </w:r>
    </w:p>
    <w:p w14:paraId="070B79E4" w14:textId="78B04A1E" w:rsidR="0026160F" w:rsidRPr="0026160F" w:rsidRDefault="00573B2A" w:rsidP="00DF107E">
      <w:pPr>
        <w:pStyle w:val="NoSpacing"/>
        <w:numPr>
          <w:ilvl w:val="0"/>
          <w:numId w:val="2"/>
        </w:numPr>
        <w:spacing w:line="360" w:lineRule="auto"/>
        <w:rPr>
          <w:rFonts w:ascii="Times New Roman" w:hAnsi="Times New Roman" w:cs="Times New Roman"/>
        </w:rPr>
      </w:pPr>
      <w:r>
        <w:rPr>
          <w:rFonts w:ascii="Times New Roman" w:hAnsi="Times New Roman" w:cs="Times New Roman"/>
        </w:rPr>
        <w:t>C</w:t>
      </w:r>
      <w:r w:rsidR="0026160F" w:rsidRPr="0026160F">
        <w:rPr>
          <w:rFonts w:ascii="Times New Roman" w:hAnsi="Times New Roman" w:cs="Times New Roman"/>
        </w:rPr>
        <w:t>ompar</w:t>
      </w:r>
      <w:r>
        <w:rPr>
          <w:rFonts w:ascii="Times New Roman" w:hAnsi="Times New Roman" w:cs="Times New Roman"/>
        </w:rPr>
        <w:t>e</w:t>
      </w:r>
      <w:r w:rsidR="0026160F" w:rsidRPr="0026160F">
        <w:rPr>
          <w:rFonts w:ascii="Times New Roman" w:hAnsi="Times New Roman" w:cs="Times New Roman"/>
        </w:rPr>
        <w:t xml:space="preserve"> the three quantification tools informing the Global Warming Solutions Act (EPA State Inventory Tool [SIT], Low Emissions Analysis Platform [LEAP] and Ex-Ante Carbon Balance Tool [Ex-ACT]), plus the </w:t>
      </w:r>
      <w:proofErr w:type="spellStart"/>
      <w:r w:rsidR="0026160F" w:rsidRPr="0026160F">
        <w:rPr>
          <w:rFonts w:ascii="Times New Roman" w:hAnsi="Times New Roman" w:cs="Times New Roman"/>
        </w:rPr>
        <w:t>DeNitrification-DeComposition</w:t>
      </w:r>
      <w:proofErr w:type="spellEnd"/>
      <w:r w:rsidR="0026160F" w:rsidRPr="0026160F">
        <w:rPr>
          <w:rFonts w:ascii="Times New Roman" w:hAnsi="Times New Roman" w:cs="Times New Roman"/>
        </w:rPr>
        <w:t xml:space="preserve"> (</w:t>
      </w:r>
      <w:proofErr w:type="spellStart"/>
      <w:r w:rsidR="0026160F" w:rsidRPr="0026160F">
        <w:rPr>
          <w:rFonts w:ascii="Times New Roman" w:hAnsi="Times New Roman" w:cs="Times New Roman"/>
        </w:rPr>
        <w:t>DNDC</w:t>
      </w:r>
      <w:proofErr w:type="spellEnd"/>
      <w:r w:rsidR="0026160F" w:rsidRPr="0026160F">
        <w:rPr>
          <w:rFonts w:ascii="Times New Roman" w:hAnsi="Times New Roman" w:cs="Times New Roman"/>
        </w:rPr>
        <w:t xml:space="preserve">) and </w:t>
      </w:r>
      <w:proofErr w:type="spellStart"/>
      <w:r w:rsidR="0026160F" w:rsidRPr="0026160F">
        <w:rPr>
          <w:rFonts w:ascii="Times New Roman" w:hAnsi="Times New Roman" w:cs="Times New Roman"/>
        </w:rPr>
        <w:t>DAYCENT</w:t>
      </w:r>
      <w:proofErr w:type="spellEnd"/>
      <w:r w:rsidR="0026160F" w:rsidRPr="0026160F">
        <w:rPr>
          <w:rFonts w:ascii="Times New Roman" w:hAnsi="Times New Roman" w:cs="Times New Roman"/>
        </w:rPr>
        <w:t xml:space="preserve"> models which are used by other states [</w:t>
      </w:r>
      <w:r w:rsidR="0070696F">
        <w:rPr>
          <w:rFonts w:ascii="Times New Roman" w:hAnsi="Times New Roman" w:cs="Times New Roman"/>
        </w:rPr>
        <w:t>i.e.,</w:t>
      </w:r>
      <w:r w:rsidR="0026160F" w:rsidRPr="0026160F">
        <w:rPr>
          <w:rFonts w:ascii="Times New Roman" w:hAnsi="Times New Roman" w:cs="Times New Roman"/>
        </w:rPr>
        <w:t xml:space="preserve"> California]</w:t>
      </w:r>
      <w:proofErr w:type="gramStart"/>
      <w:r w:rsidR="0070696F">
        <w:rPr>
          <w:rFonts w:ascii="Times New Roman" w:hAnsi="Times New Roman" w:cs="Times New Roman"/>
        </w:rPr>
        <w:t>)</w:t>
      </w:r>
      <w:r w:rsidR="0026160F" w:rsidRPr="0026160F">
        <w:rPr>
          <w:rFonts w:ascii="Times New Roman" w:hAnsi="Times New Roman" w:cs="Times New Roman"/>
        </w:rPr>
        <w:t>;</w:t>
      </w:r>
      <w:proofErr w:type="gramEnd"/>
      <w:r w:rsidR="0026160F" w:rsidRPr="0026160F">
        <w:rPr>
          <w:rFonts w:ascii="Times New Roman" w:hAnsi="Times New Roman" w:cs="Times New Roman"/>
        </w:rPr>
        <w:t xml:space="preserve"> </w:t>
      </w:r>
    </w:p>
    <w:p w14:paraId="5E4FD45A" w14:textId="00013C40" w:rsidR="0026160F" w:rsidRPr="0026160F" w:rsidRDefault="00573B2A" w:rsidP="00DF107E">
      <w:pPr>
        <w:pStyle w:val="NoSpacing"/>
        <w:numPr>
          <w:ilvl w:val="0"/>
          <w:numId w:val="2"/>
        </w:numPr>
        <w:spacing w:line="360" w:lineRule="auto"/>
        <w:rPr>
          <w:rFonts w:ascii="Times New Roman" w:hAnsi="Times New Roman" w:cs="Times New Roman"/>
        </w:rPr>
      </w:pPr>
      <w:r>
        <w:rPr>
          <w:rFonts w:ascii="Times New Roman" w:hAnsi="Times New Roman" w:cs="Times New Roman"/>
        </w:rPr>
        <w:t>Conduct background</w:t>
      </w:r>
      <w:r w:rsidR="0026160F" w:rsidRPr="0026160F">
        <w:rPr>
          <w:rFonts w:ascii="Times New Roman" w:hAnsi="Times New Roman" w:cs="Times New Roman"/>
        </w:rPr>
        <w:t xml:space="preserve"> research describing</w:t>
      </w:r>
      <w:r w:rsidR="0070696F">
        <w:rPr>
          <w:rFonts w:ascii="Times New Roman" w:hAnsi="Times New Roman" w:cs="Times New Roman"/>
        </w:rPr>
        <w:t xml:space="preserve"> </w:t>
      </w:r>
      <w:r w:rsidR="0026160F" w:rsidRPr="0026160F">
        <w:rPr>
          <w:rFonts w:ascii="Times New Roman" w:hAnsi="Times New Roman" w:cs="Times New Roman"/>
        </w:rPr>
        <w:t xml:space="preserve">the IPCC rationale for </w:t>
      </w:r>
      <w:r w:rsidR="00AB159A">
        <w:rPr>
          <w:rFonts w:ascii="Times New Roman" w:hAnsi="Times New Roman" w:cs="Times New Roman"/>
        </w:rPr>
        <w:t>using</w:t>
      </w:r>
      <w:r w:rsidR="0026160F" w:rsidRPr="0026160F">
        <w:rPr>
          <w:rFonts w:ascii="Times New Roman" w:hAnsi="Times New Roman" w:cs="Times New Roman"/>
        </w:rPr>
        <w:t xml:space="preserve"> net GHG emissions </w:t>
      </w:r>
      <w:r w:rsidR="0026160F" w:rsidRPr="0026160F">
        <w:rPr>
          <w:rFonts w:ascii="Times New Roman" w:hAnsi="Times New Roman" w:cs="Times New Roman"/>
        </w:rPr>
        <w:lastRenderedPageBreak/>
        <w:t xml:space="preserve">quantification in AFOLU sectors, and peer state’s deliberations on accounting GHG in AFOLU as net or </w:t>
      </w:r>
      <w:proofErr w:type="gramStart"/>
      <w:r w:rsidR="0026160F" w:rsidRPr="0026160F">
        <w:rPr>
          <w:rFonts w:ascii="Times New Roman" w:hAnsi="Times New Roman" w:cs="Times New Roman"/>
        </w:rPr>
        <w:t>gross;</w:t>
      </w:r>
      <w:proofErr w:type="gramEnd"/>
      <w:r w:rsidR="0026160F" w:rsidRPr="0026160F">
        <w:rPr>
          <w:rFonts w:ascii="Times New Roman" w:hAnsi="Times New Roman" w:cs="Times New Roman"/>
        </w:rPr>
        <w:t xml:space="preserve"> </w:t>
      </w:r>
    </w:p>
    <w:p w14:paraId="37926733" w14:textId="5A007F6C" w:rsidR="0026160F" w:rsidRPr="0026160F" w:rsidRDefault="0026160F" w:rsidP="00DF107E">
      <w:pPr>
        <w:pStyle w:val="NoSpacing"/>
        <w:numPr>
          <w:ilvl w:val="0"/>
          <w:numId w:val="2"/>
        </w:numPr>
        <w:spacing w:line="360" w:lineRule="auto"/>
        <w:rPr>
          <w:rFonts w:ascii="Times New Roman" w:hAnsi="Times New Roman" w:cs="Times New Roman"/>
        </w:rPr>
      </w:pPr>
      <w:r w:rsidRPr="0026160F">
        <w:rPr>
          <w:rFonts w:ascii="Times New Roman" w:hAnsi="Times New Roman" w:cs="Times New Roman"/>
        </w:rPr>
        <w:t xml:space="preserve">Describe the additional staff or technical support needed to include more accurate and nuanced </w:t>
      </w:r>
      <w:r w:rsidR="00F12143">
        <w:rPr>
          <w:rFonts w:ascii="Times New Roman" w:hAnsi="Times New Roman" w:cs="Times New Roman"/>
        </w:rPr>
        <w:t xml:space="preserve">GHG </w:t>
      </w:r>
      <w:r w:rsidRPr="0026160F">
        <w:rPr>
          <w:rFonts w:ascii="Times New Roman" w:hAnsi="Times New Roman" w:cs="Times New Roman"/>
        </w:rPr>
        <w:t xml:space="preserve">accounting of </w:t>
      </w:r>
      <w:r w:rsidR="00F12143">
        <w:rPr>
          <w:rFonts w:ascii="Times New Roman" w:hAnsi="Times New Roman" w:cs="Times New Roman"/>
        </w:rPr>
        <w:t xml:space="preserve">the </w:t>
      </w:r>
      <w:r w:rsidRPr="0026160F">
        <w:rPr>
          <w:rFonts w:ascii="Times New Roman" w:hAnsi="Times New Roman" w:cs="Times New Roman"/>
        </w:rPr>
        <w:t>AFOLU</w:t>
      </w:r>
      <w:r w:rsidR="00F12143">
        <w:rPr>
          <w:rFonts w:ascii="Times New Roman" w:hAnsi="Times New Roman" w:cs="Times New Roman"/>
        </w:rPr>
        <w:t xml:space="preserve"> sector</w:t>
      </w:r>
      <w:r w:rsidRPr="0026160F">
        <w:rPr>
          <w:rFonts w:ascii="Times New Roman" w:hAnsi="Times New Roman" w:cs="Times New Roman"/>
        </w:rPr>
        <w:t>;</w:t>
      </w:r>
      <w:r w:rsidR="00F12143">
        <w:rPr>
          <w:rFonts w:ascii="Times New Roman" w:hAnsi="Times New Roman" w:cs="Times New Roman"/>
        </w:rPr>
        <w:t xml:space="preserve"> and</w:t>
      </w:r>
    </w:p>
    <w:p w14:paraId="04C34C69" w14:textId="30CF08FC" w:rsidR="00DF107E" w:rsidRPr="00F12143" w:rsidRDefault="0026160F" w:rsidP="00F12143">
      <w:pPr>
        <w:pStyle w:val="NoSpacing"/>
        <w:numPr>
          <w:ilvl w:val="0"/>
          <w:numId w:val="2"/>
        </w:numPr>
        <w:spacing w:line="360" w:lineRule="auto"/>
        <w:rPr>
          <w:rFonts w:ascii="Times New Roman" w:hAnsi="Times New Roman" w:cs="Times New Roman"/>
        </w:rPr>
      </w:pPr>
      <w:r w:rsidRPr="0026160F">
        <w:rPr>
          <w:rFonts w:ascii="Times New Roman" w:hAnsi="Times New Roman" w:cs="Times New Roman"/>
        </w:rPr>
        <w:t>Research data sets that track land use change in Vermont</w:t>
      </w:r>
      <w:r w:rsidR="00F12143">
        <w:rPr>
          <w:rFonts w:ascii="Times New Roman" w:hAnsi="Times New Roman" w:cs="Times New Roman"/>
        </w:rPr>
        <w:t xml:space="preserve"> and/or s</w:t>
      </w:r>
      <w:r w:rsidRPr="00F12143">
        <w:rPr>
          <w:rFonts w:ascii="Times New Roman" w:hAnsi="Times New Roman" w:cs="Times New Roman"/>
        </w:rPr>
        <w:t xml:space="preserve">upport </w:t>
      </w:r>
      <w:r w:rsidR="004E26BE" w:rsidRPr="00F12143">
        <w:rPr>
          <w:rFonts w:ascii="Times New Roman" w:hAnsi="Times New Roman" w:cs="Times New Roman"/>
        </w:rPr>
        <w:t xml:space="preserve">efforts to track </w:t>
      </w:r>
      <w:r w:rsidR="00F45E04" w:rsidRPr="00F12143">
        <w:rPr>
          <w:rFonts w:ascii="Times New Roman" w:hAnsi="Times New Roman" w:cs="Times New Roman"/>
        </w:rPr>
        <w:t>land us</w:t>
      </w:r>
      <w:r w:rsidR="00AD0CA6" w:rsidRPr="00F12143">
        <w:rPr>
          <w:rFonts w:ascii="Times New Roman" w:hAnsi="Times New Roman" w:cs="Times New Roman"/>
        </w:rPr>
        <w:t xml:space="preserve">e via </w:t>
      </w:r>
      <w:r w:rsidRPr="00F12143">
        <w:rPr>
          <w:rFonts w:ascii="Times New Roman" w:hAnsi="Times New Roman" w:cs="Times New Roman"/>
        </w:rPr>
        <w:t>remote sensin</w:t>
      </w:r>
      <w:r w:rsidR="00AD0CA6" w:rsidRPr="00F12143">
        <w:rPr>
          <w:rFonts w:ascii="Times New Roman" w:hAnsi="Times New Roman" w:cs="Times New Roman"/>
        </w:rPr>
        <w:t xml:space="preserve">g (e.g., satellite, LiDAR). </w:t>
      </w:r>
    </w:p>
    <w:p w14:paraId="131EA3F6" w14:textId="028F4ED4" w:rsidR="0026160F" w:rsidRPr="0026160F" w:rsidRDefault="00DF107E" w:rsidP="002063F2">
      <w:pPr>
        <w:pStyle w:val="NoSpacing"/>
        <w:spacing w:line="360" w:lineRule="auto"/>
        <w:rPr>
          <w:rFonts w:ascii="Times New Roman" w:hAnsi="Times New Roman" w:cs="Times New Roman"/>
        </w:rPr>
      </w:pPr>
      <w:r>
        <w:rPr>
          <w:rFonts w:ascii="Times New Roman" w:hAnsi="Times New Roman" w:cs="Times New Roman"/>
        </w:rPr>
        <w:t xml:space="preserve">(2) </w:t>
      </w:r>
      <w:r w:rsidR="00A250B9" w:rsidRPr="00DF107E">
        <w:rPr>
          <w:rFonts w:ascii="Times New Roman" w:hAnsi="Times New Roman" w:cs="Times New Roman"/>
        </w:rPr>
        <w:t>E</w:t>
      </w:r>
      <w:r w:rsidR="0026160F" w:rsidRPr="00DF107E">
        <w:rPr>
          <w:rFonts w:ascii="Times New Roman" w:hAnsi="Times New Roman" w:cs="Times New Roman"/>
        </w:rPr>
        <w:t xml:space="preserve">stablish a periodic and consistent </w:t>
      </w:r>
      <w:r w:rsidR="00A0707E" w:rsidRPr="00573B2A">
        <w:rPr>
          <w:rFonts w:ascii="Times New Roman" w:hAnsi="Times New Roman" w:cs="Times New Roman"/>
          <w:i/>
          <w:iCs/>
        </w:rPr>
        <w:t>Carbon Budget</w:t>
      </w:r>
      <w:r w:rsidR="0026160F" w:rsidRPr="00DF107E">
        <w:rPr>
          <w:rFonts w:ascii="Times New Roman" w:hAnsi="Times New Roman" w:cs="Times New Roman"/>
        </w:rPr>
        <w:t xml:space="preserve"> </w:t>
      </w:r>
      <w:r w:rsidR="00A250B9" w:rsidRPr="00DF107E">
        <w:rPr>
          <w:rFonts w:ascii="Times New Roman" w:hAnsi="Times New Roman" w:cs="Times New Roman"/>
        </w:rPr>
        <w:t>for</w:t>
      </w:r>
      <w:r w:rsidR="0026160F" w:rsidRPr="00DF107E">
        <w:rPr>
          <w:rFonts w:ascii="Times New Roman" w:hAnsi="Times New Roman" w:cs="Times New Roman"/>
        </w:rPr>
        <w:t xml:space="preserve"> Vermont. To develop and update the </w:t>
      </w:r>
      <w:r w:rsidR="0026160F" w:rsidRPr="00573B2A">
        <w:rPr>
          <w:rFonts w:ascii="Times New Roman" w:hAnsi="Times New Roman" w:cs="Times New Roman"/>
          <w:i/>
          <w:iCs/>
        </w:rPr>
        <w:t xml:space="preserve">Carbon </w:t>
      </w:r>
      <w:r w:rsidR="00A0707E" w:rsidRPr="00573B2A">
        <w:rPr>
          <w:rFonts w:ascii="Times New Roman" w:hAnsi="Times New Roman" w:cs="Times New Roman"/>
          <w:i/>
          <w:iCs/>
        </w:rPr>
        <w:t>Budget</w:t>
      </w:r>
      <w:r w:rsidR="0026160F" w:rsidRPr="00DF107E">
        <w:rPr>
          <w:rFonts w:ascii="Times New Roman" w:hAnsi="Times New Roman" w:cs="Times New Roman"/>
        </w:rPr>
        <w:t xml:space="preserve"> on an annual basis, the Vermont Climate Council, in coordination with the Secretaries of Administration, of Natural Resources, of Transportation, of Agriculture, Food and Markets, and of Commerce and Community Development, and the Commissioner of Public, should aggregate all existing statewide data on </w:t>
      </w:r>
      <w:r w:rsidR="00A250B9" w:rsidRPr="00DF107E">
        <w:rPr>
          <w:rFonts w:ascii="Times New Roman" w:hAnsi="Times New Roman" w:cs="Times New Roman"/>
        </w:rPr>
        <w:t>GHG</w:t>
      </w:r>
      <w:r w:rsidR="00F80CA0">
        <w:rPr>
          <w:rFonts w:ascii="Times New Roman" w:hAnsi="Times New Roman" w:cs="Times New Roman"/>
        </w:rPr>
        <w:t xml:space="preserve"> fluxes and stocks</w:t>
      </w:r>
      <w:r w:rsidR="0026160F" w:rsidRPr="00DF107E">
        <w:rPr>
          <w:rFonts w:ascii="Times New Roman" w:hAnsi="Times New Roman" w:cs="Times New Roman"/>
        </w:rPr>
        <w:t>.</w:t>
      </w:r>
      <w:r w:rsidR="00D02E68">
        <w:rPr>
          <w:rFonts w:ascii="Times New Roman" w:hAnsi="Times New Roman" w:cs="Times New Roman"/>
        </w:rPr>
        <w:t xml:space="preserve"> </w:t>
      </w:r>
      <w:r w:rsidR="002063F2" w:rsidRPr="0026160F">
        <w:rPr>
          <w:rFonts w:ascii="Times New Roman" w:hAnsi="Times New Roman" w:cs="Times New Roman"/>
        </w:rPr>
        <w:t xml:space="preserve">Future updates to a </w:t>
      </w:r>
      <w:r w:rsidR="002063F2">
        <w:rPr>
          <w:rFonts w:ascii="Times New Roman" w:hAnsi="Times New Roman" w:cs="Times New Roman"/>
        </w:rPr>
        <w:t xml:space="preserve">subsequent version of a </w:t>
      </w:r>
      <w:r w:rsidR="002063F2" w:rsidRPr="00573B2A">
        <w:rPr>
          <w:rFonts w:ascii="Times New Roman" w:hAnsi="Times New Roman" w:cs="Times New Roman"/>
          <w:i/>
          <w:iCs/>
        </w:rPr>
        <w:t>Carbon Budget</w:t>
      </w:r>
      <w:r w:rsidR="002063F2" w:rsidRPr="0026160F">
        <w:rPr>
          <w:rFonts w:ascii="Times New Roman" w:hAnsi="Times New Roman" w:cs="Times New Roman"/>
        </w:rPr>
        <w:t xml:space="preserve"> should consider the following</w:t>
      </w:r>
      <w:r w:rsidR="00CE03C3">
        <w:rPr>
          <w:rFonts w:ascii="Times New Roman" w:hAnsi="Times New Roman" w:cs="Times New Roman"/>
        </w:rPr>
        <w:t>:</w:t>
      </w:r>
      <w:r w:rsidR="002063F2">
        <w:rPr>
          <w:rFonts w:ascii="Times New Roman" w:hAnsi="Times New Roman" w:cs="Times New Roman"/>
        </w:rPr>
        <w:t xml:space="preserve"> </w:t>
      </w:r>
    </w:p>
    <w:p w14:paraId="4C295F8D" w14:textId="252ACC75" w:rsidR="006347A5" w:rsidRPr="006347A5" w:rsidRDefault="001A5246" w:rsidP="006347A5">
      <w:pPr>
        <w:pStyle w:val="NoSpacing"/>
        <w:numPr>
          <w:ilvl w:val="0"/>
          <w:numId w:val="1"/>
        </w:numPr>
        <w:spacing w:line="360" w:lineRule="auto"/>
        <w:rPr>
          <w:rFonts w:ascii="Times New Roman" w:hAnsi="Times New Roman" w:cs="Times New Roman"/>
        </w:rPr>
      </w:pPr>
      <w:r>
        <w:rPr>
          <w:rFonts w:ascii="Times New Roman" w:hAnsi="Times New Roman" w:cs="Times New Roman"/>
        </w:rPr>
        <w:t>In addition to net flux, r</w:t>
      </w:r>
      <w:r w:rsidR="006347A5" w:rsidRPr="009D2B94">
        <w:rPr>
          <w:rFonts w:ascii="Times New Roman" w:hAnsi="Times New Roman" w:cs="Times New Roman"/>
        </w:rPr>
        <w:t>eport gross emissions an</w:t>
      </w:r>
      <w:r>
        <w:rPr>
          <w:rFonts w:ascii="Times New Roman" w:hAnsi="Times New Roman" w:cs="Times New Roman"/>
        </w:rPr>
        <w:t>d</w:t>
      </w:r>
      <w:r w:rsidR="006347A5" w:rsidRPr="009D2B94">
        <w:rPr>
          <w:rFonts w:ascii="Times New Roman" w:hAnsi="Times New Roman" w:cs="Times New Roman"/>
        </w:rPr>
        <w:t xml:space="preserve"> </w:t>
      </w:r>
      <w:proofErr w:type="gramStart"/>
      <w:r w:rsidR="006347A5" w:rsidRPr="009D2B94">
        <w:rPr>
          <w:rFonts w:ascii="Times New Roman" w:hAnsi="Times New Roman" w:cs="Times New Roman"/>
        </w:rPr>
        <w:t>sequestration</w:t>
      </w:r>
      <w:r w:rsidR="00403BB0">
        <w:rPr>
          <w:rFonts w:ascii="Times New Roman" w:hAnsi="Times New Roman" w:cs="Times New Roman"/>
        </w:rPr>
        <w:t>;</w:t>
      </w:r>
      <w:proofErr w:type="gramEnd"/>
    </w:p>
    <w:p w14:paraId="1984C2FA" w14:textId="36E822BC" w:rsidR="0026160F" w:rsidRDefault="426E8C52" w:rsidP="009D2B94">
      <w:pPr>
        <w:pStyle w:val="NoSpacing"/>
        <w:numPr>
          <w:ilvl w:val="0"/>
          <w:numId w:val="1"/>
        </w:numPr>
        <w:spacing w:line="360" w:lineRule="auto"/>
        <w:rPr>
          <w:rFonts w:ascii="Times New Roman" w:hAnsi="Times New Roman" w:cs="Times New Roman"/>
        </w:rPr>
      </w:pPr>
      <w:r w:rsidRPr="29C92444">
        <w:rPr>
          <w:rFonts w:ascii="Times New Roman" w:hAnsi="Times New Roman" w:cs="Times New Roman"/>
        </w:rPr>
        <w:t>Incorporat</w:t>
      </w:r>
      <w:r w:rsidR="6BD50C45" w:rsidRPr="29C92444">
        <w:rPr>
          <w:rFonts w:ascii="Times New Roman" w:hAnsi="Times New Roman" w:cs="Times New Roman"/>
        </w:rPr>
        <w:t>e</w:t>
      </w:r>
      <w:r w:rsidR="0026160F" w:rsidRPr="0026160F">
        <w:rPr>
          <w:rFonts w:ascii="Times New Roman" w:hAnsi="Times New Roman" w:cs="Times New Roman"/>
        </w:rPr>
        <w:t xml:space="preserve"> </w:t>
      </w:r>
      <w:r w:rsidR="00491E03">
        <w:rPr>
          <w:rFonts w:ascii="Times New Roman" w:hAnsi="Times New Roman" w:cs="Times New Roman"/>
        </w:rPr>
        <w:t>uncertainty or error estimates</w:t>
      </w:r>
      <w:r w:rsidR="0026160F" w:rsidRPr="0026160F">
        <w:rPr>
          <w:rFonts w:ascii="Times New Roman" w:hAnsi="Times New Roman" w:cs="Times New Roman"/>
        </w:rPr>
        <w:t xml:space="preserve"> for all </w:t>
      </w:r>
      <w:r w:rsidR="00491E03">
        <w:rPr>
          <w:rFonts w:ascii="Times New Roman" w:hAnsi="Times New Roman" w:cs="Times New Roman"/>
        </w:rPr>
        <w:t>stocks and fluxes</w:t>
      </w:r>
      <w:r w:rsidR="006347A5">
        <w:rPr>
          <w:rFonts w:ascii="Times New Roman" w:hAnsi="Times New Roman" w:cs="Times New Roman"/>
        </w:rPr>
        <w:t>.</w:t>
      </w:r>
    </w:p>
    <w:p w14:paraId="077A0F73" w14:textId="7E199228" w:rsidR="006347A5" w:rsidRPr="006347A5" w:rsidRDefault="00A86D77" w:rsidP="006347A5">
      <w:pPr>
        <w:pStyle w:val="NoSpacing"/>
        <w:numPr>
          <w:ilvl w:val="0"/>
          <w:numId w:val="1"/>
        </w:numPr>
        <w:spacing w:line="360" w:lineRule="auto"/>
        <w:rPr>
          <w:rFonts w:ascii="Times New Roman" w:hAnsi="Times New Roman" w:cs="Times New Roman"/>
        </w:rPr>
      </w:pPr>
      <w:r>
        <w:rPr>
          <w:rFonts w:ascii="Times New Roman" w:hAnsi="Times New Roman" w:cs="Times New Roman"/>
        </w:rPr>
        <w:t xml:space="preserve">In addition to reporting the total flux per sub-sector, report all </w:t>
      </w:r>
      <w:r w:rsidR="006347A5">
        <w:rPr>
          <w:rFonts w:ascii="Times New Roman" w:hAnsi="Times New Roman" w:cs="Times New Roman"/>
        </w:rPr>
        <w:t xml:space="preserve">fluxes </w:t>
      </w:r>
      <w:r>
        <w:rPr>
          <w:rFonts w:ascii="Times New Roman" w:hAnsi="Times New Roman" w:cs="Times New Roman"/>
        </w:rPr>
        <w:t xml:space="preserve">on a </w:t>
      </w:r>
      <w:r w:rsidR="006347A5" w:rsidRPr="009D2B94">
        <w:rPr>
          <w:rFonts w:ascii="Times New Roman" w:hAnsi="Times New Roman" w:cs="Times New Roman"/>
        </w:rPr>
        <w:t xml:space="preserve">per area </w:t>
      </w:r>
      <w:r>
        <w:rPr>
          <w:rFonts w:ascii="Times New Roman" w:hAnsi="Times New Roman" w:cs="Times New Roman"/>
        </w:rPr>
        <w:t xml:space="preserve">basis </w:t>
      </w:r>
      <w:r w:rsidR="006347A5">
        <w:rPr>
          <w:rFonts w:ascii="Times New Roman" w:hAnsi="Times New Roman" w:cs="Times New Roman"/>
        </w:rPr>
        <w:t>(</w:t>
      </w:r>
      <w:r w:rsidR="006347A5" w:rsidRPr="29C92444">
        <w:rPr>
          <w:rFonts w:ascii="Times New Roman" w:hAnsi="Times New Roman" w:cs="Times New Roman"/>
        </w:rPr>
        <w:t>i.e.</w:t>
      </w:r>
      <w:r w:rsidR="006347A5">
        <w:rPr>
          <w:rFonts w:ascii="Times New Roman" w:hAnsi="Times New Roman" w:cs="Times New Roman"/>
        </w:rPr>
        <w:t>,</w:t>
      </w:r>
      <w:r w:rsidR="006347A5" w:rsidRPr="29C92444">
        <w:rPr>
          <w:rFonts w:ascii="Times New Roman" w:hAnsi="Times New Roman" w:cs="Times New Roman"/>
        </w:rPr>
        <w:t xml:space="preserve"> MMT</w:t>
      </w:r>
      <w:r w:rsidR="006347A5">
        <w:rPr>
          <w:rFonts w:ascii="Times New Roman" w:hAnsi="Times New Roman" w:cs="Times New Roman"/>
        </w:rPr>
        <w:t xml:space="preserve"> </w:t>
      </w:r>
      <w:r w:rsidR="006347A5" w:rsidRPr="29C92444">
        <w:rPr>
          <w:rFonts w:ascii="Times New Roman" w:hAnsi="Times New Roman" w:cs="Times New Roman"/>
        </w:rPr>
        <w:t>CO</w:t>
      </w:r>
      <w:r w:rsidR="006347A5" w:rsidRPr="007A1327">
        <w:rPr>
          <w:rFonts w:ascii="Times New Roman" w:hAnsi="Times New Roman" w:cs="Times New Roman"/>
          <w:vertAlign w:val="subscript"/>
        </w:rPr>
        <w:t>2</w:t>
      </w:r>
      <w:r w:rsidR="006347A5" w:rsidRPr="29C92444">
        <w:rPr>
          <w:rFonts w:ascii="Times New Roman" w:hAnsi="Times New Roman" w:cs="Times New Roman"/>
        </w:rPr>
        <w:t>e</w:t>
      </w:r>
      <w:r w:rsidR="006347A5">
        <w:rPr>
          <w:rFonts w:ascii="Times New Roman" w:hAnsi="Times New Roman" w:cs="Times New Roman"/>
        </w:rPr>
        <w:t xml:space="preserve"> per </w:t>
      </w:r>
      <w:r w:rsidR="006347A5" w:rsidRPr="29C92444">
        <w:rPr>
          <w:rFonts w:ascii="Times New Roman" w:hAnsi="Times New Roman" w:cs="Times New Roman"/>
        </w:rPr>
        <w:t>acre</w:t>
      </w:r>
      <w:r w:rsidR="006347A5">
        <w:rPr>
          <w:rFonts w:ascii="Times New Roman" w:hAnsi="Times New Roman" w:cs="Times New Roman"/>
        </w:rPr>
        <w:t xml:space="preserve"> per year)</w:t>
      </w:r>
      <w:r w:rsidR="006347A5" w:rsidRPr="29C92444">
        <w:rPr>
          <w:rFonts w:ascii="Times New Roman" w:hAnsi="Times New Roman" w:cs="Times New Roman"/>
        </w:rPr>
        <w:t>.</w:t>
      </w:r>
    </w:p>
    <w:p w14:paraId="54E8BCB3" w14:textId="69F527E6" w:rsidR="009D2B94" w:rsidRPr="004A7086" w:rsidRDefault="0026160F" w:rsidP="004A7086">
      <w:pPr>
        <w:pStyle w:val="NoSpacing"/>
        <w:numPr>
          <w:ilvl w:val="0"/>
          <w:numId w:val="1"/>
        </w:numPr>
        <w:spacing w:line="360" w:lineRule="auto"/>
        <w:rPr>
          <w:rFonts w:ascii="Times New Roman" w:hAnsi="Times New Roman" w:cs="Times New Roman"/>
        </w:rPr>
      </w:pPr>
      <w:r w:rsidRPr="0026160F">
        <w:rPr>
          <w:rFonts w:ascii="Times New Roman" w:hAnsi="Times New Roman" w:cs="Times New Roman"/>
        </w:rPr>
        <w:t xml:space="preserve">Investigate any stocks or fluxes not included in </w:t>
      </w:r>
      <w:r w:rsidR="004F42A1">
        <w:rPr>
          <w:rFonts w:ascii="Times New Roman" w:hAnsi="Times New Roman" w:cs="Times New Roman"/>
        </w:rPr>
        <w:t xml:space="preserve">the 2021 </w:t>
      </w:r>
      <w:r w:rsidR="00A86A16" w:rsidRPr="00A86A16">
        <w:rPr>
          <w:rFonts w:ascii="Times New Roman" w:hAnsi="Times New Roman" w:cs="Times New Roman"/>
          <w:i/>
          <w:iCs/>
        </w:rPr>
        <w:t>Carbon Budget</w:t>
      </w:r>
      <w:r w:rsidRPr="0026160F">
        <w:rPr>
          <w:rFonts w:ascii="Times New Roman" w:hAnsi="Times New Roman" w:cs="Times New Roman"/>
        </w:rPr>
        <w:t>. For example</w:t>
      </w:r>
      <w:r w:rsidR="00C0102E">
        <w:rPr>
          <w:rFonts w:ascii="Times New Roman" w:hAnsi="Times New Roman" w:cs="Times New Roman"/>
        </w:rPr>
        <w:t>: (1)</w:t>
      </w:r>
      <w:r w:rsidRPr="0026160F">
        <w:rPr>
          <w:rFonts w:ascii="Times New Roman" w:hAnsi="Times New Roman" w:cs="Times New Roman"/>
        </w:rPr>
        <w:t xml:space="preserve"> </w:t>
      </w:r>
      <w:r w:rsidR="00124D4B">
        <w:rPr>
          <w:rFonts w:ascii="Times New Roman" w:hAnsi="Times New Roman" w:cs="Times New Roman"/>
        </w:rPr>
        <w:t>T</w:t>
      </w:r>
      <w:r w:rsidRPr="0026160F">
        <w:rPr>
          <w:rFonts w:ascii="Times New Roman" w:hAnsi="Times New Roman" w:cs="Times New Roman"/>
        </w:rPr>
        <w:t>he Urban and Developed sector only includes trees, and not grasses, turf, shrubs</w:t>
      </w:r>
      <w:r w:rsidR="00D02E68">
        <w:rPr>
          <w:rFonts w:ascii="Times New Roman" w:hAnsi="Times New Roman" w:cs="Times New Roman"/>
        </w:rPr>
        <w:t>,</w:t>
      </w:r>
      <w:r w:rsidRPr="0026160F">
        <w:rPr>
          <w:rFonts w:ascii="Times New Roman" w:hAnsi="Times New Roman" w:cs="Times New Roman"/>
        </w:rPr>
        <w:t xml:space="preserve"> </w:t>
      </w:r>
      <w:r w:rsidR="00A06D25">
        <w:rPr>
          <w:rFonts w:ascii="Times New Roman" w:hAnsi="Times New Roman" w:cs="Times New Roman"/>
        </w:rPr>
        <w:t xml:space="preserve">or </w:t>
      </w:r>
      <w:r w:rsidRPr="0026160F">
        <w:rPr>
          <w:rFonts w:ascii="Times New Roman" w:hAnsi="Times New Roman" w:cs="Times New Roman"/>
        </w:rPr>
        <w:t>other plants</w:t>
      </w:r>
      <w:r w:rsidR="007F2F6C">
        <w:rPr>
          <w:rFonts w:ascii="Times New Roman" w:hAnsi="Times New Roman" w:cs="Times New Roman"/>
        </w:rPr>
        <w:t xml:space="preserve">; </w:t>
      </w:r>
      <w:r w:rsidR="00D32EB8">
        <w:rPr>
          <w:rFonts w:ascii="Times New Roman" w:hAnsi="Times New Roman" w:cs="Times New Roman"/>
        </w:rPr>
        <w:t>(2)</w:t>
      </w:r>
      <w:r w:rsidR="00084C75">
        <w:rPr>
          <w:rFonts w:ascii="Times New Roman" w:hAnsi="Times New Roman" w:cs="Times New Roman"/>
        </w:rPr>
        <w:t xml:space="preserve"> </w:t>
      </w:r>
      <w:r w:rsidR="00D32EB8">
        <w:rPr>
          <w:rFonts w:ascii="Times New Roman" w:hAnsi="Times New Roman" w:cs="Times New Roman"/>
        </w:rPr>
        <w:t>F</w:t>
      </w:r>
      <w:r w:rsidR="00084C75">
        <w:rPr>
          <w:rFonts w:ascii="Times New Roman" w:hAnsi="Times New Roman" w:cs="Times New Roman"/>
        </w:rPr>
        <w:t>urther investigate urban soil stocks and fluxes</w:t>
      </w:r>
      <w:r w:rsidR="0094263B">
        <w:rPr>
          <w:rFonts w:ascii="Times New Roman" w:hAnsi="Times New Roman" w:cs="Times New Roman"/>
        </w:rPr>
        <w:t>,</w:t>
      </w:r>
      <w:r w:rsidR="0067539F">
        <w:rPr>
          <w:rFonts w:ascii="Times New Roman" w:hAnsi="Times New Roman" w:cs="Times New Roman"/>
        </w:rPr>
        <w:t xml:space="preserve"> which were presented as </w:t>
      </w:r>
      <w:r w:rsidR="00CA5D83">
        <w:rPr>
          <w:rFonts w:ascii="Times New Roman" w:hAnsi="Times New Roman" w:cs="Times New Roman"/>
        </w:rPr>
        <w:t xml:space="preserve">negligible in the </w:t>
      </w:r>
      <w:r w:rsidR="00CA5D83" w:rsidRPr="00D32EB8">
        <w:rPr>
          <w:rFonts w:ascii="Times New Roman" w:hAnsi="Times New Roman" w:cs="Times New Roman"/>
          <w:i/>
          <w:iCs/>
        </w:rPr>
        <w:t>2021 Carbon Budget</w:t>
      </w:r>
      <w:r w:rsidR="0094263B">
        <w:rPr>
          <w:rFonts w:ascii="Times New Roman" w:hAnsi="Times New Roman" w:cs="Times New Roman"/>
        </w:rPr>
        <w:t xml:space="preserve">, </w:t>
      </w:r>
      <w:r w:rsidR="00904754">
        <w:rPr>
          <w:rFonts w:ascii="Times New Roman" w:hAnsi="Times New Roman" w:cs="Times New Roman"/>
        </w:rPr>
        <w:t>yet</w:t>
      </w:r>
      <w:r w:rsidR="0094263B">
        <w:rPr>
          <w:rFonts w:ascii="Times New Roman" w:hAnsi="Times New Roman" w:cs="Times New Roman"/>
        </w:rPr>
        <w:t xml:space="preserve"> </w:t>
      </w:r>
      <w:r w:rsidR="00D32EB8">
        <w:rPr>
          <w:rFonts w:ascii="Times New Roman" w:hAnsi="Times New Roman" w:cs="Times New Roman"/>
        </w:rPr>
        <w:t xml:space="preserve">in Maine </w:t>
      </w:r>
      <w:r w:rsidR="004F686A">
        <w:rPr>
          <w:rFonts w:ascii="Times New Roman" w:hAnsi="Times New Roman" w:cs="Times New Roman"/>
        </w:rPr>
        <w:t xml:space="preserve">urban soils </w:t>
      </w:r>
      <w:r w:rsidR="00D32EB8">
        <w:rPr>
          <w:rFonts w:ascii="Times New Roman" w:hAnsi="Times New Roman" w:cs="Times New Roman"/>
        </w:rPr>
        <w:t xml:space="preserve">were </w:t>
      </w:r>
      <w:r w:rsidR="004F686A">
        <w:rPr>
          <w:rFonts w:ascii="Times New Roman" w:hAnsi="Times New Roman" w:cs="Times New Roman"/>
        </w:rPr>
        <w:t>estimated</w:t>
      </w:r>
      <w:r w:rsidR="00D32EB8">
        <w:rPr>
          <w:rFonts w:ascii="Times New Roman" w:hAnsi="Times New Roman" w:cs="Times New Roman"/>
        </w:rPr>
        <w:t xml:space="preserve"> to </w:t>
      </w:r>
      <w:r w:rsidR="004F686A">
        <w:rPr>
          <w:rFonts w:ascii="Times New Roman" w:hAnsi="Times New Roman" w:cs="Times New Roman"/>
        </w:rPr>
        <w:t>contribute</w:t>
      </w:r>
      <w:r w:rsidR="00C53E25">
        <w:rPr>
          <w:rFonts w:ascii="Times New Roman" w:hAnsi="Times New Roman" w:cs="Times New Roman"/>
        </w:rPr>
        <w:t xml:space="preserve"> three times as </w:t>
      </w:r>
      <w:r w:rsidR="00D32EB8">
        <w:rPr>
          <w:rFonts w:ascii="Times New Roman" w:hAnsi="Times New Roman" w:cs="Times New Roman"/>
        </w:rPr>
        <w:t>much sequestration as urban plants</w:t>
      </w:r>
      <w:r w:rsidR="004F686A">
        <w:rPr>
          <w:rStyle w:val="FootnoteReference"/>
          <w:rFonts w:ascii="Times New Roman" w:hAnsi="Times New Roman" w:cs="Times New Roman"/>
        </w:rPr>
        <w:footnoteReference w:id="16"/>
      </w:r>
      <w:r w:rsidR="00084C75">
        <w:rPr>
          <w:rFonts w:ascii="Times New Roman" w:hAnsi="Times New Roman" w:cs="Times New Roman"/>
        </w:rPr>
        <w:t xml:space="preserve">. </w:t>
      </w:r>
      <w:r w:rsidR="00C0102E">
        <w:rPr>
          <w:rFonts w:ascii="Times New Roman" w:hAnsi="Times New Roman" w:cs="Times New Roman"/>
        </w:rPr>
        <w:t>(2)</w:t>
      </w:r>
      <w:r w:rsidR="002C3DCB">
        <w:rPr>
          <w:rFonts w:ascii="Times New Roman" w:hAnsi="Times New Roman" w:cs="Times New Roman"/>
        </w:rPr>
        <w:t xml:space="preserve"> Investigate inclusion of the l</w:t>
      </w:r>
      <w:r w:rsidR="00C0102E">
        <w:rPr>
          <w:rFonts w:ascii="Times New Roman" w:hAnsi="Times New Roman" w:cs="Times New Roman"/>
        </w:rPr>
        <w:t>ateral movement of carbon from land to water bodies (</w:t>
      </w:r>
      <w:r w:rsidR="00A06D25">
        <w:rPr>
          <w:rFonts w:ascii="Times New Roman" w:hAnsi="Times New Roman" w:cs="Times New Roman"/>
        </w:rPr>
        <w:t xml:space="preserve">i.e., </w:t>
      </w:r>
      <w:r w:rsidR="00C0102E">
        <w:rPr>
          <w:rFonts w:ascii="Times New Roman" w:hAnsi="Times New Roman" w:cs="Times New Roman"/>
        </w:rPr>
        <w:t xml:space="preserve">sedimentation). </w:t>
      </w:r>
      <w:r w:rsidR="00263240">
        <w:rPr>
          <w:rFonts w:ascii="Times New Roman" w:hAnsi="Times New Roman" w:cs="Times New Roman"/>
        </w:rPr>
        <w:t xml:space="preserve">(3) </w:t>
      </w:r>
      <w:r w:rsidR="00E53DFE">
        <w:rPr>
          <w:rFonts w:ascii="Times New Roman" w:hAnsi="Times New Roman" w:cs="Times New Roman"/>
        </w:rPr>
        <w:t xml:space="preserve">Investigate the inclusion of </w:t>
      </w:r>
      <w:r w:rsidR="00263240">
        <w:rPr>
          <w:rFonts w:ascii="Times New Roman" w:hAnsi="Times New Roman" w:cs="Times New Roman"/>
        </w:rPr>
        <w:t xml:space="preserve">outgassing </w:t>
      </w:r>
      <w:r w:rsidR="006968F7">
        <w:rPr>
          <w:rFonts w:ascii="Times New Roman" w:hAnsi="Times New Roman" w:cs="Times New Roman"/>
        </w:rPr>
        <w:t>from water bodies</w:t>
      </w:r>
      <w:r w:rsidR="007D5CAD">
        <w:rPr>
          <w:rFonts w:ascii="Times New Roman" w:hAnsi="Times New Roman" w:cs="Times New Roman"/>
        </w:rPr>
        <w:t xml:space="preserve">. (4) </w:t>
      </w:r>
      <w:r w:rsidR="00E53DFE">
        <w:rPr>
          <w:rFonts w:ascii="Times New Roman" w:hAnsi="Times New Roman" w:cs="Times New Roman"/>
        </w:rPr>
        <w:t>Include l</w:t>
      </w:r>
      <w:r w:rsidRPr="007D5CAD">
        <w:rPr>
          <w:rFonts w:ascii="Times New Roman" w:hAnsi="Times New Roman" w:cs="Times New Roman"/>
        </w:rPr>
        <w:t xml:space="preserve">and use change </w:t>
      </w:r>
      <w:r w:rsidR="00E53DFE">
        <w:rPr>
          <w:rFonts w:ascii="Times New Roman" w:hAnsi="Times New Roman" w:cs="Times New Roman"/>
        </w:rPr>
        <w:t>for conversions</w:t>
      </w:r>
      <w:r w:rsidRPr="007D5CAD">
        <w:rPr>
          <w:rFonts w:ascii="Times New Roman" w:hAnsi="Times New Roman" w:cs="Times New Roman"/>
        </w:rPr>
        <w:t xml:space="preserve"> other than </w:t>
      </w:r>
      <w:r w:rsidR="00E53DFE">
        <w:rPr>
          <w:rFonts w:ascii="Times New Roman" w:hAnsi="Times New Roman" w:cs="Times New Roman"/>
        </w:rPr>
        <w:t xml:space="preserve">to/from </w:t>
      </w:r>
      <w:r w:rsidRPr="007D5CAD">
        <w:rPr>
          <w:rFonts w:ascii="Times New Roman" w:hAnsi="Times New Roman" w:cs="Times New Roman"/>
        </w:rPr>
        <w:t>forests (e.g., wetlands to development).</w:t>
      </w:r>
      <w:r w:rsidR="004A7086">
        <w:rPr>
          <w:rFonts w:ascii="Times New Roman" w:hAnsi="Times New Roman" w:cs="Times New Roman"/>
        </w:rPr>
        <w:t xml:space="preserve"> (5) </w:t>
      </w:r>
      <w:r w:rsidR="00007991">
        <w:rPr>
          <w:rFonts w:ascii="Times New Roman" w:hAnsi="Times New Roman" w:cs="Times New Roman"/>
        </w:rPr>
        <w:t>On agricultural land, c</w:t>
      </w:r>
      <w:r w:rsidR="00E53DFE" w:rsidRPr="004A7086">
        <w:rPr>
          <w:rFonts w:ascii="Times New Roman" w:hAnsi="Times New Roman" w:cs="Times New Roman"/>
        </w:rPr>
        <w:t xml:space="preserve">onsider accounting for </w:t>
      </w:r>
      <w:r w:rsidR="00E53DFE">
        <w:rPr>
          <w:rFonts w:ascii="Times New Roman" w:hAnsi="Times New Roman" w:cs="Times New Roman"/>
        </w:rPr>
        <w:t>i</w:t>
      </w:r>
      <w:r w:rsidRPr="004A7086">
        <w:rPr>
          <w:rFonts w:ascii="Times New Roman" w:hAnsi="Times New Roman" w:cs="Times New Roman"/>
        </w:rPr>
        <w:t>solated trees or small groups of trees that do not constitute a forest</w:t>
      </w:r>
      <w:r w:rsidR="00007991">
        <w:rPr>
          <w:rFonts w:ascii="Times New Roman" w:hAnsi="Times New Roman" w:cs="Times New Roman"/>
        </w:rPr>
        <w:t xml:space="preserve">, which </w:t>
      </w:r>
      <w:r w:rsidRPr="004A7086">
        <w:rPr>
          <w:rFonts w:ascii="Times New Roman" w:hAnsi="Times New Roman" w:cs="Times New Roman"/>
        </w:rPr>
        <w:t>are</w:t>
      </w:r>
      <w:r w:rsidR="00E53DFE">
        <w:rPr>
          <w:rFonts w:ascii="Times New Roman" w:hAnsi="Times New Roman" w:cs="Times New Roman"/>
        </w:rPr>
        <w:t xml:space="preserve"> currently </w:t>
      </w:r>
      <w:r w:rsidR="00007991">
        <w:rPr>
          <w:rFonts w:ascii="Times New Roman" w:hAnsi="Times New Roman" w:cs="Times New Roman"/>
        </w:rPr>
        <w:t xml:space="preserve">not included. </w:t>
      </w:r>
      <w:r w:rsidR="00BC5C9F">
        <w:rPr>
          <w:rFonts w:ascii="Times New Roman" w:hAnsi="Times New Roman" w:cs="Times New Roman"/>
        </w:rPr>
        <w:t xml:space="preserve">(6) Clarify whether the wetland and water bodies </w:t>
      </w:r>
      <w:r w:rsidR="009A26D2">
        <w:rPr>
          <w:rFonts w:ascii="Times New Roman" w:hAnsi="Times New Roman" w:cs="Times New Roman"/>
        </w:rPr>
        <w:t xml:space="preserve">sub-sector </w:t>
      </w:r>
      <w:r w:rsidR="00BC5C9F">
        <w:rPr>
          <w:rFonts w:ascii="Times New Roman" w:hAnsi="Times New Roman" w:cs="Times New Roman"/>
        </w:rPr>
        <w:t>include lake</w:t>
      </w:r>
      <w:r w:rsidR="007C1FFF">
        <w:rPr>
          <w:rFonts w:ascii="Times New Roman" w:hAnsi="Times New Roman" w:cs="Times New Roman"/>
        </w:rPr>
        <w:t>s</w:t>
      </w:r>
      <w:r w:rsidR="00BC5C9F">
        <w:rPr>
          <w:rFonts w:ascii="Times New Roman" w:hAnsi="Times New Roman" w:cs="Times New Roman"/>
        </w:rPr>
        <w:t xml:space="preserve"> and ponds. </w:t>
      </w:r>
    </w:p>
    <w:p w14:paraId="32367033" w14:textId="77777777" w:rsidR="001627C5" w:rsidRDefault="0026160F" w:rsidP="001627C5">
      <w:pPr>
        <w:pStyle w:val="NoSpacing"/>
        <w:numPr>
          <w:ilvl w:val="0"/>
          <w:numId w:val="3"/>
        </w:numPr>
        <w:spacing w:line="360" w:lineRule="auto"/>
        <w:rPr>
          <w:rFonts w:ascii="Times New Roman" w:hAnsi="Times New Roman" w:cs="Times New Roman"/>
        </w:rPr>
      </w:pPr>
      <w:r w:rsidRPr="009D2B94">
        <w:rPr>
          <w:rFonts w:ascii="Times New Roman" w:hAnsi="Times New Roman" w:cs="Times New Roman"/>
        </w:rPr>
        <w:t>Address issues of possible double counting</w:t>
      </w:r>
      <w:r w:rsidR="006347A5">
        <w:rPr>
          <w:rFonts w:ascii="Times New Roman" w:hAnsi="Times New Roman" w:cs="Times New Roman"/>
        </w:rPr>
        <w:t>.</w:t>
      </w:r>
      <w:r w:rsidRPr="009D2B94">
        <w:rPr>
          <w:rFonts w:ascii="Times New Roman" w:hAnsi="Times New Roman" w:cs="Times New Roman"/>
        </w:rPr>
        <w:t xml:space="preserve"> </w:t>
      </w:r>
      <w:r w:rsidR="006347A5">
        <w:rPr>
          <w:rFonts w:ascii="Times New Roman" w:hAnsi="Times New Roman" w:cs="Times New Roman"/>
        </w:rPr>
        <w:t>F</w:t>
      </w:r>
      <w:r w:rsidRPr="009D2B94">
        <w:rPr>
          <w:rFonts w:ascii="Times New Roman" w:hAnsi="Times New Roman" w:cs="Times New Roman"/>
        </w:rPr>
        <w:t>or example</w:t>
      </w:r>
      <w:r w:rsidR="006347A5">
        <w:rPr>
          <w:rFonts w:ascii="Times New Roman" w:hAnsi="Times New Roman" w:cs="Times New Roman"/>
        </w:rPr>
        <w:t>,</w:t>
      </w:r>
      <w:r w:rsidRPr="009D2B94">
        <w:rPr>
          <w:rFonts w:ascii="Times New Roman" w:hAnsi="Times New Roman" w:cs="Times New Roman"/>
        </w:rPr>
        <w:t xml:space="preserve"> land use conversion is counted </w:t>
      </w:r>
      <w:r w:rsidRPr="009D2B94">
        <w:rPr>
          <w:rFonts w:ascii="Times New Roman" w:hAnsi="Times New Roman" w:cs="Times New Roman"/>
        </w:rPr>
        <w:lastRenderedPageBreak/>
        <w:t>as an immediate source of emissions to the atmosphere, but in forest clearing, there are often harvested wood products that are extracted that end up in products that store carbon for some length of time.</w:t>
      </w:r>
      <w:r w:rsidR="001627C5" w:rsidRPr="001627C5">
        <w:rPr>
          <w:rFonts w:ascii="Times New Roman" w:hAnsi="Times New Roman" w:cs="Times New Roman"/>
        </w:rPr>
        <w:t xml:space="preserve"> </w:t>
      </w:r>
    </w:p>
    <w:p w14:paraId="07B4DDB6" w14:textId="39B1B517" w:rsidR="009D2B94" w:rsidRPr="001627C5" w:rsidRDefault="001627C5" w:rsidP="001627C5">
      <w:pPr>
        <w:pStyle w:val="NoSpacing"/>
        <w:numPr>
          <w:ilvl w:val="0"/>
          <w:numId w:val="3"/>
        </w:numPr>
        <w:spacing w:line="360" w:lineRule="auto"/>
        <w:rPr>
          <w:rFonts w:ascii="Times New Roman" w:hAnsi="Times New Roman" w:cs="Times New Roman"/>
        </w:rPr>
      </w:pPr>
      <w:r w:rsidRPr="7E078E2E">
        <w:rPr>
          <w:rFonts w:ascii="Times New Roman" w:hAnsi="Times New Roman" w:cs="Times New Roman"/>
        </w:rPr>
        <w:t>Consider standardizing</w:t>
      </w:r>
      <w:r>
        <w:rPr>
          <w:rFonts w:ascii="Times New Roman" w:hAnsi="Times New Roman" w:cs="Times New Roman"/>
        </w:rPr>
        <w:t xml:space="preserve"> soil</w:t>
      </w:r>
      <w:r w:rsidRPr="7E078E2E">
        <w:rPr>
          <w:rFonts w:ascii="Times New Roman" w:hAnsi="Times New Roman" w:cs="Times New Roman"/>
        </w:rPr>
        <w:t xml:space="preserve"> </w:t>
      </w:r>
      <w:r>
        <w:rPr>
          <w:rFonts w:ascii="Times New Roman" w:hAnsi="Times New Roman" w:cs="Times New Roman"/>
        </w:rPr>
        <w:t>carbon</w:t>
      </w:r>
      <w:r w:rsidRPr="7E078E2E">
        <w:rPr>
          <w:rFonts w:ascii="Times New Roman" w:hAnsi="Times New Roman" w:cs="Times New Roman"/>
        </w:rPr>
        <w:t xml:space="preserve"> </w:t>
      </w:r>
      <w:r>
        <w:rPr>
          <w:rFonts w:ascii="Times New Roman" w:hAnsi="Times New Roman" w:cs="Times New Roman"/>
        </w:rPr>
        <w:t xml:space="preserve">methodology across all AFOLU sectors. In the </w:t>
      </w:r>
      <w:r w:rsidRPr="00E624BB">
        <w:rPr>
          <w:rFonts w:ascii="Times New Roman" w:hAnsi="Times New Roman" w:cs="Times New Roman"/>
          <w:i/>
          <w:iCs/>
        </w:rPr>
        <w:t>2021 Carbon Budget</w:t>
      </w:r>
      <w:r>
        <w:rPr>
          <w:rFonts w:ascii="Times New Roman" w:hAnsi="Times New Roman" w:cs="Times New Roman"/>
        </w:rPr>
        <w:t>, f</w:t>
      </w:r>
      <w:r w:rsidRPr="7E078E2E">
        <w:rPr>
          <w:rFonts w:ascii="Times New Roman" w:hAnsi="Times New Roman" w:cs="Times New Roman"/>
        </w:rPr>
        <w:t xml:space="preserve">orest soils </w:t>
      </w:r>
      <w:r>
        <w:rPr>
          <w:rFonts w:ascii="Times New Roman" w:hAnsi="Times New Roman" w:cs="Times New Roman"/>
        </w:rPr>
        <w:t>are assessed to</w:t>
      </w:r>
      <w:r w:rsidRPr="7E078E2E">
        <w:rPr>
          <w:rFonts w:ascii="Times New Roman" w:hAnsi="Times New Roman" w:cs="Times New Roman"/>
        </w:rPr>
        <w:t xml:space="preserve"> </w:t>
      </w:r>
      <w:r w:rsidR="00DF13A8">
        <w:rPr>
          <w:rFonts w:ascii="Times New Roman" w:hAnsi="Times New Roman" w:cs="Times New Roman"/>
        </w:rPr>
        <w:t xml:space="preserve">a depth of </w:t>
      </w:r>
      <w:r w:rsidRPr="7E078E2E">
        <w:rPr>
          <w:rFonts w:ascii="Times New Roman" w:hAnsi="Times New Roman" w:cs="Times New Roman"/>
        </w:rPr>
        <w:t xml:space="preserve">1 meter, but </w:t>
      </w:r>
      <w:r>
        <w:rPr>
          <w:rFonts w:ascii="Times New Roman" w:hAnsi="Times New Roman" w:cs="Times New Roman"/>
        </w:rPr>
        <w:t>other soils (</w:t>
      </w:r>
      <w:r w:rsidRPr="7E078E2E">
        <w:rPr>
          <w:rFonts w:ascii="Times New Roman" w:hAnsi="Times New Roman" w:cs="Times New Roman"/>
        </w:rPr>
        <w:t>ag</w:t>
      </w:r>
      <w:r>
        <w:rPr>
          <w:rFonts w:ascii="Times New Roman" w:hAnsi="Times New Roman" w:cs="Times New Roman"/>
        </w:rPr>
        <w:t xml:space="preserve">riculture, </w:t>
      </w:r>
      <w:proofErr w:type="gramStart"/>
      <w:r>
        <w:rPr>
          <w:rFonts w:ascii="Times New Roman" w:hAnsi="Times New Roman" w:cs="Times New Roman"/>
        </w:rPr>
        <w:t>wetlands</w:t>
      </w:r>
      <w:proofErr w:type="gramEnd"/>
      <w:r>
        <w:rPr>
          <w:rFonts w:ascii="Times New Roman" w:hAnsi="Times New Roman" w:cs="Times New Roman"/>
        </w:rPr>
        <w:t xml:space="preserve"> and waterbodies)</w:t>
      </w:r>
      <w:r w:rsidRPr="7E078E2E">
        <w:rPr>
          <w:rFonts w:ascii="Times New Roman" w:hAnsi="Times New Roman" w:cs="Times New Roman"/>
        </w:rPr>
        <w:t xml:space="preserve"> </w:t>
      </w:r>
      <w:r w:rsidR="004D1866">
        <w:rPr>
          <w:rFonts w:ascii="Times New Roman" w:hAnsi="Times New Roman" w:cs="Times New Roman"/>
        </w:rPr>
        <w:t>are assessed</w:t>
      </w:r>
      <w:r w:rsidR="00B13BFB">
        <w:rPr>
          <w:rFonts w:ascii="Times New Roman" w:hAnsi="Times New Roman" w:cs="Times New Roman"/>
        </w:rPr>
        <w:t xml:space="preserve"> to a depth of</w:t>
      </w:r>
      <w:r>
        <w:rPr>
          <w:rFonts w:ascii="Times New Roman" w:hAnsi="Times New Roman" w:cs="Times New Roman"/>
        </w:rPr>
        <w:t xml:space="preserve"> 0.3 m</w:t>
      </w:r>
      <w:r w:rsidR="00EB2B44">
        <w:rPr>
          <w:rFonts w:ascii="Times New Roman" w:hAnsi="Times New Roman" w:cs="Times New Roman"/>
        </w:rPr>
        <w:t>eter</w:t>
      </w:r>
      <w:r w:rsidR="00B6040F">
        <w:rPr>
          <w:rFonts w:ascii="Times New Roman" w:hAnsi="Times New Roman" w:cs="Times New Roman"/>
        </w:rPr>
        <w:t>—d</w:t>
      </w:r>
      <w:r w:rsidRPr="7E078E2E">
        <w:rPr>
          <w:rFonts w:ascii="Times New Roman" w:hAnsi="Times New Roman" w:cs="Times New Roman"/>
        </w:rPr>
        <w:t xml:space="preserve">eeper </w:t>
      </w:r>
      <w:r>
        <w:rPr>
          <w:rFonts w:ascii="Times New Roman" w:hAnsi="Times New Roman" w:cs="Times New Roman"/>
        </w:rPr>
        <w:t xml:space="preserve">soil </w:t>
      </w:r>
      <w:r w:rsidRPr="7E078E2E">
        <w:rPr>
          <w:rFonts w:ascii="Times New Roman" w:hAnsi="Times New Roman" w:cs="Times New Roman"/>
        </w:rPr>
        <w:t>depth accounts for more stored</w:t>
      </w:r>
      <w:r>
        <w:rPr>
          <w:rFonts w:ascii="Times New Roman" w:hAnsi="Times New Roman" w:cs="Times New Roman"/>
        </w:rPr>
        <w:t xml:space="preserve"> carbon</w:t>
      </w:r>
      <w:r w:rsidRPr="7E078E2E">
        <w:rPr>
          <w:rFonts w:ascii="Times New Roman" w:hAnsi="Times New Roman" w:cs="Times New Roman"/>
        </w:rPr>
        <w:t>.</w:t>
      </w:r>
      <w:r>
        <w:rPr>
          <w:rFonts w:ascii="Times New Roman" w:hAnsi="Times New Roman" w:cs="Times New Roman"/>
        </w:rPr>
        <w:t xml:space="preserve"> </w:t>
      </w:r>
    </w:p>
    <w:p w14:paraId="7A01B11A" w14:textId="40B2720A" w:rsidR="0026160F" w:rsidRPr="00A74DB4" w:rsidRDefault="00061392" w:rsidP="00A74DB4">
      <w:pPr>
        <w:pStyle w:val="NoSpacing"/>
        <w:numPr>
          <w:ilvl w:val="0"/>
          <w:numId w:val="1"/>
        </w:numPr>
        <w:spacing w:line="360" w:lineRule="auto"/>
        <w:rPr>
          <w:rFonts w:ascii="Times New Roman" w:hAnsi="Times New Roman" w:cs="Times New Roman"/>
        </w:rPr>
      </w:pPr>
      <w:r>
        <w:rPr>
          <w:rFonts w:ascii="Times New Roman" w:hAnsi="Times New Roman" w:cs="Times New Roman"/>
        </w:rPr>
        <w:t xml:space="preserve">Either </w:t>
      </w:r>
      <w:r w:rsidR="0026160F" w:rsidRPr="009D2B94">
        <w:rPr>
          <w:rFonts w:ascii="Times New Roman" w:hAnsi="Times New Roman" w:cs="Times New Roman"/>
        </w:rPr>
        <w:t xml:space="preserve">integrate pasture (managed grassland) as an Agriculture source; or split into formal IPCC AFOLU sources, </w:t>
      </w:r>
      <w:r w:rsidR="007A1327" w:rsidRPr="009D2B94">
        <w:rPr>
          <w:rFonts w:ascii="Times New Roman" w:hAnsi="Times New Roman" w:cs="Times New Roman"/>
        </w:rPr>
        <w:t>i.e.,</w:t>
      </w:r>
      <w:r w:rsidR="0026160F" w:rsidRPr="009D2B94">
        <w:rPr>
          <w:rFonts w:ascii="Times New Roman" w:hAnsi="Times New Roman" w:cs="Times New Roman"/>
        </w:rPr>
        <w:t xml:space="preserve"> cropland, grassland, livestock, etc.</w:t>
      </w:r>
      <w:r w:rsidR="00A74DB4">
        <w:rPr>
          <w:rFonts w:ascii="Times New Roman" w:hAnsi="Times New Roman" w:cs="Times New Roman"/>
        </w:rPr>
        <w:t xml:space="preserve"> Also r</w:t>
      </w:r>
      <w:r w:rsidR="0026160F" w:rsidRPr="00A74DB4">
        <w:rPr>
          <w:rFonts w:ascii="Times New Roman" w:hAnsi="Times New Roman" w:cs="Times New Roman"/>
        </w:rPr>
        <w:t>eview management assumptions used for agriculture per source</w:t>
      </w:r>
      <w:r w:rsidR="007A1327" w:rsidRPr="00A74DB4">
        <w:rPr>
          <w:rFonts w:ascii="Times New Roman" w:hAnsi="Times New Roman" w:cs="Times New Roman"/>
        </w:rPr>
        <w:t xml:space="preserve"> (e.g.,</w:t>
      </w:r>
      <w:r w:rsidR="0026160F" w:rsidRPr="00A74DB4">
        <w:rPr>
          <w:rFonts w:ascii="Times New Roman" w:hAnsi="Times New Roman" w:cs="Times New Roman"/>
        </w:rPr>
        <w:t xml:space="preserve"> crop residue retained,</w:t>
      </w:r>
      <w:r w:rsidR="008900B3" w:rsidRPr="00A74DB4">
        <w:rPr>
          <w:rFonts w:ascii="Times New Roman" w:hAnsi="Times New Roman" w:cs="Times New Roman"/>
        </w:rPr>
        <w:t xml:space="preserve"> </w:t>
      </w:r>
      <w:r w:rsidR="007A1327" w:rsidRPr="00A74DB4">
        <w:rPr>
          <w:rFonts w:ascii="Times New Roman" w:hAnsi="Times New Roman" w:cs="Times New Roman"/>
        </w:rPr>
        <w:t>carbon</w:t>
      </w:r>
      <w:r w:rsidR="0026160F" w:rsidRPr="00A74DB4">
        <w:rPr>
          <w:rFonts w:ascii="Times New Roman" w:hAnsi="Times New Roman" w:cs="Times New Roman"/>
        </w:rPr>
        <w:t xml:space="preserve"> input, manure, pasture degradation</w:t>
      </w:r>
      <w:r w:rsidR="007A1327" w:rsidRPr="00A74DB4">
        <w:rPr>
          <w:rFonts w:ascii="Times New Roman" w:hAnsi="Times New Roman" w:cs="Times New Roman"/>
        </w:rPr>
        <w:t>)</w:t>
      </w:r>
      <w:r w:rsidR="0026160F" w:rsidRPr="00A74DB4">
        <w:rPr>
          <w:rFonts w:ascii="Times New Roman" w:hAnsi="Times New Roman" w:cs="Times New Roman"/>
        </w:rPr>
        <w:t xml:space="preserve"> and update as data sets are reviewed and updated</w:t>
      </w:r>
      <w:r w:rsidR="761207C2" w:rsidRPr="00A74DB4">
        <w:rPr>
          <w:rFonts w:ascii="Times New Roman" w:hAnsi="Times New Roman" w:cs="Times New Roman"/>
        </w:rPr>
        <w:t>.</w:t>
      </w:r>
    </w:p>
    <w:p w14:paraId="230BE382" w14:textId="21ACB7B3" w:rsidR="0026160F" w:rsidRPr="00604D09" w:rsidRDefault="009E55E2" w:rsidP="00604D09">
      <w:pPr>
        <w:pStyle w:val="NoSpacing"/>
        <w:numPr>
          <w:ilvl w:val="0"/>
          <w:numId w:val="3"/>
        </w:numPr>
        <w:spacing w:line="360" w:lineRule="auto"/>
        <w:rPr>
          <w:rFonts w:ascii="Times New Roman" w:hAnsi="Times New Roman" w:cs="Times New Roman"/>
        </w:rPr>
      </w:pPr>
      <w:r>
        <w:rPr>
          <w:rFonts w:ascii="Times New Roman" w:hAnsi="Times New Roman" w:cs="Times New Roman"/>
        </w:rPr>
        <w:t xml:space="preserve">Update </w:t>
      </w:r>
      <w:r w:rsidR="00661DD4">
        <w:rPr>
          <w:rFonts w:ascii="Times New Roman" w:hAnsi="Times New Roman" w:cs="Times New Roman"/>
        </w:rPr>
        <w:t xml:space="preserve">the Executive Summary Table (Table </w:t>
      </w:r>
      <w:r>
        <w:rPr>
          <w:rFonts w:ascii="Times New Roman" w:hAnsi="Times New Roman" w:cs="Times New Roman"/>
        </w:rPr>
        <w:t>ES</w:t>
      </w:r>
      <w:r w:rsidR="00ED5EC2">
        <w:rPr>
          <w:rFonts w:ascii="Times New Roman" w:hAnsi="Times New Roman" w:cs="Times New Roman"/>
        </w:rPr>
        <w:t xml:space="preserve"> in the 2021 </w:t>
      </w:r>
      <w:r w:rsidR="00ED5EC2" w:rsidRPr="00ED5EC2">
        <w:rPr>
          <w:rFonts w:ascii="Times New Roman" w:hAnsi="Times New Roman" w:cs="Times New Roman"/>
          <w:i/>
          <w:iCs/>
        </w:rPr>
        <w:t>Carbon Budget</w:t>
      </w:r>
      <w:r w:rsidR="00661DD4">
        <w:rPr>
          <w:rFonts w:ascii="Times New Roman" w:hAnsi="Times New Roman" w:cs="Times New Roman"/>
        </w:rPr>
        <w:t>)</w:t>
      </w:r>
      <w:r>
        <w:rPr>
          <w:rFonts w:ascii="Times New Roman" w:hAnsi="Times New Roman" w:cs="Times New Roman"/>
        </w:rPr>
        <w:t xml:space="preserve"> </w:t>
      </w:r>
      <w:r w:rsidR="00ED5EC2">
        <w:rPr>
          <w:rFonts w:ascii="Times New Roman" w:hAnsi="Times New Roman" w:cs="Times New Roman"/>
        </w:rPr>
        <w:t xml:space="preserve">as </w:t>
      </w:r>
      <w:r>
        <w:rPr>
          <w:rFonts w:ascii="Times New Roman" w:hAnsi="Times New Roman" w:cs="Times New Roman"/>
        </w:rPr>
        <w:t xml:space="preserve">follows: </w:t>
      </w:r>
      <w:r w:rsidR="00CD1BCD">
        <w:rPr>
          <w:rFonts w:ascii="Times New Roman" w:hAnsi="Times New Roman" w:cs="Times New Roman"/>
        </w:rPr>
        <w:t>(1) c</w:t>
      </w:r>
      <w:r w:rsidR="0026160F" w:rsidRPr="7E078E2E">
        <w:rPr>
          <w:rFonts w:ascii="Times New Roman" w:hAnsi="Times New Roman" w:cs="Times New Roman"/>
        </w:rPr>
        <w:t xml:space="preserve">larify that the </w:t>
      </w:r>
      <w:r w:rsidR="002063F2">
        <w:rPr>
          <w:rFonts w:ascii="Times New Roman" w:hAnsi="Times New Roman" w:cs="Times New Roman"/>
        </w:rPr>
        <w:t>net AF</w:t>
      </w:r>
      <w:r w:rsidR="007B16CC">
        <w:rPr>
          <w:rFonts w:ascii="Times New Roman" w:hAnsi="Times New Roman" w:cs="Times New Roman"/>
        </w:rPr>
        <w:t xml:space="preserve">OLU carbon </w:t>
      </w:r>
      <w:r w:rsidR="0026160F" w:rsidRPr="7E078E2E">
        <w:rPr>
          <w:rFonts w:ascii="Times New Roman" w:hAnsi="Times New Roman" w:cs="Times New Roman"/>
        </w:rPr>
        <w:t>stock</w:t>
      </w:r>
      <w:r w:rsidR="007B16CC">
        <w:rPr>
          <w:rFonts w:ascii="Times New Roman" w:hAnsi="Times New Roman" w:cs="Times New Roman"/>
        </w:rPr>
        <w:t xml:space="preserve"> </w:t>
      </w:r>
      <w:r w:rsidR="0026160F" w:rsidRPr="7E078E2E">
        <w:rPr>
          <w:rFonts w:ascii="Times New Roman" w:hAnsi="Times New Roman" w:cs="Times New Roman"/>
        </w:rPr>
        <w:t>is 2</w:t>
      </w:r>
      <w:r w:rsidR="007B16CC">
        <w:rPr>
          <w:rFonts w:ascii="Times New Roman" w:hAnsi="Times New Roman" w:cs="Times New Roman"/>
        </w:rPr>
        <w:t>,</w:t>
      </w:r>
      <w:r w:rsidR="0026160F" w:rsidRPr="7E078E2E">
        <w:rPr>
          <w:rFonts w:ascii="Times New Roman" w:hAnsi="Times New Roman" w:cs="Times New Roman"/>
        </w:rPr>
        <w:t>035 not 1,978 MMT CO</w:t>
      </w:r>
      <w:r w:rsidR="0026160F" w:rsidRPr="00300DD4">
        <w:rPr>
          <w:rFonts w:ascii="Times New Roman" w:hAnsi="Times New Roman" w:cs="Times New Roman"/>
          <w:vertAlign w:val="subscript"/>
        </w:rPr>
        <w:t>2</w:t>
      </w:r>
      <w:r w:rsidR="0026160F" w:rsidRPr="7E078E2E">
        <w:rPr>
          <w:rFonts w:ascii="Times New Roman" w:hAnsi="Times New Roman" w:cs="Times New Roman"/>
        </w:rPr>
        <w:t>e as published</w:t>
      </w:r>
      <w:r w:rsidR="00236282">
        <w:rPr>
          <w:rFonts w:ascii="Times New Roman" w:hAnsi="Times New Roman" w:cs="Times New Roman"/>
        </w:rPr>
        <w:t xml:space="preserve"> </w:t>
      </w:r>
      <w:r w:rsidR="00236282" w:rsidRPr="00236282">
        <w:rPr>
          <w:rFonts w:ascii="Times New Roman" w:hAnsi="Times New Roman" w:cs="Times New Roman"/>
        </w:rPr>
        <w:t xml:space="preserve">(see </w:t>
      </w:r>
      <w:r w:rsidR="00236282" w:rsidRPr="00236282">
        <w:rPr>
          <w:rFonts w:ascii="Times New Roman" w:hAnsi="Times New Roman" w:cs="Times New Roman"/>
        </w:rPr>
        <w:fldChar w:fldCharType="begin"/>
      </w:r>
      <w:r w:rsidR="00236282" w:rsidRPr="00236282">
        <w:rPr>
          <w:rFonts w:ascii="Times New Roman" w:hAnsi="Times New Roman" w:cs="Times New Roman"/>
        </w:rPr>
        <w:instrText xml:space="preserve"> REF _Ref87528132 \h  \* MERGEFORMAT </w:instrText>
      </w:r>
      <w:r w:rsidR="00236282" w:rsidRPr="00236282">
        <w:rPr>
          <w:rFonts w:ascii="Times New Roman" w:hAnsi="Times New Roman" w:cs="Times New Roman"/>
        </w:rPr>
      </w:r>
      <w:r w:rsidR="00236282" w:rsidRPr="00236282">
        <w:rPr>
          <w:rFonts w:ascii="Times New Roman" w:hAnsi="Times New Roman" w:cs="Times New Roman"/>
        </w:rPr>
        <w:fldChar w:fldCharType="separate"/>
      </w:r>
      <w:r w:rsidR="00236282" w:rsidRPr="00236282">
        <w:rPr>
          <w:rFonts w:ascii="Times New Roman" w:hAnsi="Times New Roman" w:cs="Times New Roman"/>
        </w:rPr>
        <w:t xml:space="preserve">Table </w:t>
      </w:r>
      <w:r w:rsidR="00236282" w:rsidRPr="00236282">
        <w:rPr>
          <w:rFonts w:ascii="Times New Roman" w:hAnsi="Times New Roman" w:cs="Times New Roman"/>
          <w:noProof/>
        </w:rPr>
        <w:t>1</w:t>
      </w:r>
      <w:r w:rsidR="00236282" w:rsidRPr="00236282">
        <w:rPr>
          <w:rFonts w:ascii="Times New Roman" w:hAnsi="Times New Roman" w:cs="Times New Roman"/>
        </w:rPr>
        <w:fldChar w:fldCharType="end"/>
      </w:r>
      <w:r w:rsidR="00236282" w:rsidRPr="00236282">
        <w:rPr>
          <w:rFonts w:ascii="Times New Roman" w:hAnsi="Times New Roman" w:cs="Times New Roman"/>
        </w:rPr>
        <w:t>)</w:t>
      </w:r>
      <w:r w:rsidR="00CD1BCD" w:rsidRPr="00236282">
        <w:rPr>
          <w:rFonts w:ascii="Times New Roman" w:hAnsi="Times New Roman" w:cs="Times New Roman"/>
        </w:rPr>
        <w:t>.</w:t>
      </w:r>
      <w:r w:rsidR="00CD1BCD">
        <w:rPr>
          <w:rFonts w:ascii="Times New Roman" w:hAnsi="Times New Roman" w:cs="Times New Roman"/>
        </w:rPr>
        <w:t xml:space="preserve"> (2) </w:t>
      </w:r>
      <w:r w:rsidR="007B16CC">
        <w:rPr>
          <w:rFonts w:ascii="Times New Roman" w:hAnsi="Times New Roman" w:cs="Times New Roman"/>
        </w:rPr>
        <w:t>C</w:t>
      </w:r>
      <w:r w:rsidR="00300DD4" w:rsidRPr="00CD1BCD">
        <w:rPr>
          <w:rFonts w:ascii="Times New Roman" w:hAnsi="Times New Roman" w:cs="Times New Roman"/>
        </w:rPr>
        <w:t>larify that</w:t>
      </w:r>
      <w:r w:rsidR="0026160F" w:rsidRPr="00CD1BCD">
        <w:rPr>
          <w:rFonts w:ascii="Times New Roman" w:hAnsi="Times New Roman" w:cs="Times New Roman"/>
        </w:rPr>
        <w:t xml:space="preserve"> ‘</w:t>
      </w:r>
      <w:r w:rsidR="00124D4B">
        <w:rPr>
          <w:rFonts w:ascii="Times New Roman" w:hAnsi="Times New Roman" w:cs="Times New Roman"/>
        </w:rPr>
        <w:t>f</w:t>
      </w:r>
      <w:r w:rsidR="0026160F" w:rsidRPr="00CD1BCD">
        <w:rPr>
          <w:rFonts w:ascii="Times New Roman" w:hAnsi="Times New Roman" w:cs="Times New Roman"/>
        </w:rPr>
        <w:t xml:space="preserve">ossil </w:t>
      </w:r>
      <w:r w:rsidR="00124D4B">
        <w:rPr>
          <w:rFonts w:ascii="Times New Roman" w:hAnsi="Times New Roman" w:cs="Times New Roman"/>
        </w:rPr>
        <w:t>f</w:t>
      </w:r>
      <w:r w:rsidR="0026160F" w:rsidRPr="00CD1BCD">
        <w:rPr>
          <w:rFonts w:ascii="Times New Roman" w:hAnsi="Times New Roman" w:cs="Times New Roman"/>
        </w:rPr>
        <w:t>uel’</w:t>
      </w:r>
      <w:r w:rsidR="007B16CC">
        <w:rPr>
          <w:rFonts w:ascii="Times New Roman" w:hAnsi="Times New Roman" w:cs="Times New Roman"/>
        </w:rPr>
        <w:t xml:space="preserve"> emissions from the GHG Emissions Inventory</w:t>
      </w:r>
      <w:r w:rsidR="0026160F" w:rsidRPr="00CD1BCD">
        <w:rPr>
          <w:rFonts w:ascii="Times New Roman" w:hAnsi="Times New Roman" w:cs="Times New Roman"/>
        </w:rPr>
        <w:t xml:space="preserve"> includes agricultural emissions</w:t>
      </w:r>
      <w:r w:rsidR="007B16CC">
        <w:rPr>
          <w:rFonts w:ascii="Times New Roman" w:hAnsi="Times New Roman" w:cs="Times New Roman"/>
        </w:rPr>
        <w:t xml:space="preserve"> that</w:t>
      </w:r>
      <w:r w:rsidR="0026160F" w:rsidRPr="00CD1BCD">
        <w:rPr>
          <w:rFonts w:ascii="Times New Roman" w:hAnsi="Times New Roman" w:cs="Times New Roman"/>
        </w:rPr>
        <w:t xml:space="preserve"> </w:t>
      </w:r>
      <w:r w:rsidR="007B16CC">
        <w:rPr>
          <w:rFonts w:ascii="Times New Roman" w:hAnsi="Times New Roman" w:cs="Times New Roman"/>
        </w:rPr>
        <w:t>are also included</w:t>
      </w:r>
      <w:r w:rsidR="0026160F" w:rsidRPr="00CD1BCD">
        <w:rPr>
          <w:rFonts w:ascii="Times New Roman" w:hAnsi="Times New Roman" w:cs="Times New Roman"/>
        </w:rPr>
        <w:t xml:space="preserve"> in the </w:t>
      </w:r>
      <w:r w:rsidR="00ED5EC2">
        <w:rPr>
          <w:rFonts w:ascii="Times New Roman" w:hAnsi="Times New Roman" w:cs="Times New Roman"/>
        </w:rPr>
        <w:t>a</w:t>
      </w:r>
      <w:r w:rsidR="0026160F" w:rsidRPr="00CD1BCD">
        <w:rPr>
          <w:rFonts w:ascii="Times New Roman" w:hAnsi="Times New Roman" w:cs="Times New Roman"/>
        </w:rPr>
        <w:t>griculture and</w:t>
      </w:r>
      <w:r w:rsidR="007B16CC">
        <w:rPr>
          <w:rFonts w:ascii="Times New Roman" w:hAnsi="Times New Roman" w:cs="Times New Roman"/>
        </w:rPr>
        <w:t xml:space="preserve"> </w:t>
      </w:r>
      <w:r w:rsidR="00ED5EC2">
        <w:rPr>
          <w:rFonts w:ascii="Times New Roman" w:hAnsi="Times New Roman" w:cs="Times New Roman"/>
        </w:rPr>
        <w:t>g</w:t>
      </w:r>
      <w:r w:rsidR="0026160F" w:rsidRPr="00CD1BCD">
        <w:rPr>
          <w:rFonts w:ascii="Times New Roman" w:hAnsi="Times New Roman" w:cs="Times New Roman"/>
        </w:rPr>
        <w:t>rasslands</w:t>
      </w:r>
      <w:r w:rsidR="00ED5EC2">
        <w:rPr>
          <w:rFonts w:ascii="Times New Roman" w:hAnsi="Times New Roman" w:cs="Times New Roman"/>
        </w:rPr>
        <w:t>/s</w:t>
      </w:r>
      <w:r w:rsidR="0026160F" w:rsidRPr="00CD1BCD">
        <w:rPr>
          <w:rFonts w:ascii="Times New Roman" w:hAnsi="Times New Roman" w:cs="Times New Roman"/>
        </w:rPr>
        <w:t xml:space="preserve">hrubland </w:t>
      </w:r>
      <w:r w:rsidR="007B16CC">
        <w:rPr>
          <w:rFonts w:ascii="Times New Roman" w:hAnsi="Times New Roman" w:cs="Times New Roman"/>
        </w:rPr>
        <w:t xml:space="preserve">sub-sectors of the </w:t>
      </w:r>
      <w:r w:rsidR="007B16CC" w:rsidRPr="00ED5EC2">
        <w:rPr>
          <w:rFonts w:ascii="Times New Roman" w:hAnsi="Times New Roman" w:cs="Times New Roman"/>
          <w:i/>
          <w:iCs/>
        </w:rPr>
        <w:t xml:space="preserve">Carbon </w:t>
      </w:r>
      <w:r w:rsidR="00902B51" w:rsidRPr="00ED5EC2">
        <w:rPr>
          <w:rFonts w:ascii="Times New Roman" w:hAnsi="Times New Roman" w:cs="Times New Roman"/>
          <w:i/>
          <w:iCs/>
        </w:rPr>
        <w:t>Budget</w:t>
      </w:r>
      <w:r w:rsidR="00902B51">
        <w:rPr>
          <w:rFonts w:ascii="Times New Roman" w:hAnsi="Times New Roman" w:cs="Times New Roman"/>
        </w:rPr>
        <w:t xml:space="preserve"> and</w:t>
      </w:r>
      <w:r w:rsidR="6CBE0BAB" w:rsidRPr="00CD1BCD">
        <w:rPr>
          <w:rFonts w:ascii="Times New Roman" w:hAnsi="Times New Roman" w:cs="Times New Roman"/>
        </w:rPr>
        <w:t xml:space="preserve"> are thus double counted</w:t>
      </w:r>
      <w:r w:rsidR="00236282">
        <w:rPr>
          <w:rFonts w:ascii="Times New Roman" w:hAnsi="Times New Roman" w:cs="Times New Roman"/>
        </w:rPr>
        <w:t xml:space="preserve"> (</w:t>
      </w:r>
      <w:r w:rsidR="00236282" w:rsidRPr="00236282">
        <w:rPr>
          <w:rFonts w:ascii="Times New Roman" w:hAnsi="Times New Roman" w:cs="Times New Roman"/>
        </w:rPr>
        <w:t xml:space="preserve">see </w:t>
      </w:r>
      <w:r w:rsidR="00236282" w:rsidRPr="00236282">
        <w:rPr>
          <w:rFonts w:ascii="Times New Roman" w:hAnsi="Times New Roman" w:cs="Times New Roman"/>
        </w:rPr>
        <w:fldChar w:fldCharType="begin"/>
      </w:r>
      <w:r w:rsidR="00236282" w:rsidRPr="00236282">
        <w:rPr>
          <w:rFonts w:ascii="Times New Roman" w:hAnsi="Times New Roman" w:cs="Times New Roman"/>
        </w:rPr>
        <w:instrText xml:space="preserve"> REF _Ref87528132 \h  \* MERGEFORMAT </w:instrText>
      </w:r>
      <w:r w:rsidR="00236282" w:rsidRPr="00236282">
        <w:rPr>
          <w:rFonts w:ascii="Times New Roman" w:hAnsi="Times New Roman" w:cs="Times New Roman"/>
        </w:rPr>
      </w:r>
      <w:r w:rsidR="00236282" w:rsidRPr="00236282">
        <w:rPr>
          <w:rFonts w:ascii="Times New Roman" w:hAnsi="Times New Roman" w:cs="Times New Roman"/>
        </w:rPr>
        <w:fldChar w:fldCharType="separate"/>
      </w:r>
      <w:r w:rsidR="00236282" w:rsidRPr="00236282">
        <w:rPr>
          <w:rFonts w:ascii="Times New Roman" w:hAnsi="Times New Roman" w:cs="Times New Roman"/>
        </w:rPr>
        <w:t xml:space="preserve">Table </w:t>
      </w:r>
      <w:r w:rsidR="00236282" w:rsidRPr="00236282">
        <w:rPr>
          <w:rFonts w:ascii="Times New Roman" w:hAnsi="Times New Roman" w:cs="Times New Roman"/>
          <w:noProof/>
        </w:rPr>
        <w:t>1</w:t>
      </w:r>
      <w:r w:rsidR="00236282" w:rsidRPr="00236282">
        <w:rPr>
          <w:rFonts w:ascii="Times New Roman" w:hAnsi="Times New Roman" w:cs="Times New Roman"/>
        </w:rPr>
        <w:fldChar w:fldCharType="end"/>
      </w:r>
      <w:r w:rsidR="00236282">
        <w:rPr>
          <w:rFonts w:ascii="Times New Roman" w:hAnsi="Times New Roman" w:cs="Times New Roman"/>
        </w:rPr>
        <w:t>)</w:t>
      </w:r>
      <w:r w:rsidR="00604D09">
        <w:rPr>
          <w:rFonts w:ascii="Times New Roman" w:hAnsi="Times New Roman" w:cs="Times New Roman"/>
        </w:rPr>
        <w:t xml:space="preserve">. </w:t>
      </w:r>
      <w:r w:rsidR="00661DD4" w:rsidRPr="00604D09">
        <w:rPr>
          <w:rFonts w:ascii="Times New Roman" w:hAnsi="Times New Roman" w:cs="Times New Roman"/>
        </w:rPr>
        <w:t xml:space="preserve">(3) Modify the data </w:t>
      </w:r>
      <w:r w:rsidR="00E624BB" w:rsidRPr="00604D09">
        <w:rPr>
          <w:rFonts w:ascii="Times New Roman" w:hAnsi="Times New Roman" w:cs="Times New Roman"/>
        </w:rPr>
        <w:t>citations</w:t>
      </w:r>
      <w:r w:rsidR="00661DD4" w:rsidRPr="00604D09">
        <w:rPr>
          <w:rFonts w:ascii="Times New Roman" w:hAnsi="Times New Roman" w:cs="Times New Roman"/>
        </w:rPr>
        <w:t xml:space="preserve"> to indicate </w:t>
      </w:r>
      <w:r w:rsidR="00E624BB" w:rsidRPr="00604D09">
        <w:rPr>
          <w:rFonts w:ascii="Times New Roman" w:hAnsi="Times New Roman" w:cs="Times New Roman"/>
        </w:rPr>
        <w:t>the source</w:t>
      </w:r>
      <w:r w:rsidR="00661DD4" w:rsidRPr="00604D09">
        <w:rPr>
          <w:rFonts w:ascii="Times New Roman" w:hAnsi="Times New Roman" w:cs="Times New Roman"/>
        </w:rPr>
        <w:t xml:space="preserve"> </w:t>
      </w:r>
      <w:r w:rsidR="00E624BB" w:rsidRPr="00604D09">
        <w:rPr>
          <w:rFonts w:ascii="Times New Roman" w:hAnsi="Times New Roman" w:cs="Times New Roman"/>
        </w:rPr>
        <w:t xml:space="preserve">of </w:t>
      </w:r>
      <w:r w:rsidR="00661DD4" w:rsidRPr="00604D09">
        <w:rPr>
          <w:rFonts w:ascii="Times New Roman" w:hAnsi="Times New Roman" w:cs="Times New Roman"/>
        </w:rPr>
        <w:t xml:space="preserve">input data </w:t>
      </w:r>
      <w:r w:rsidR="00E624BB" w:rsidRPr="00604D09">
        <w:rPr>
          <w:rFonts w:ascii="Times New Roman" w:hAnsi="Times New Roman" w:cs="Times New Roman"/>
        </w:rPr>
        <w:t>used to</w:t>
      </w:r>
      <w:r w:rsidR="00B32DC1" w:rsidRPr="00604D09">
        <w:rPr>
          <w:rFonts w:ascii="Times New Roman" w:hAnsi="Times New Roman" w:cs="Times New Roman"/>
        </w:rPr>
        <w:t xml:space="preserve"> create the </w:t>
      </w:r>
      <w:r w:rsidR="00B32DC1" w:rsidRPr="00604D09">
        <w:rPr>
          <w:rFonts w:ascii="Times New Roman" w:hAnsi="Times New Roman" w:cs="Times New Roman"/>
          <w:i/>
          <w:iCs/>
        </w:rPr>
        <w:t>Carbon Budget</w:t>
      </w:r>
      <w:r w:rsidR="00A07948" w:rsidRPr="00604D09">
        <w:rPr>
          <w:rFonts w:ascii="Times New Roman" w:hAnsi="Times New Roman" w:cs="Times New Roman"/>
        </w:rPr>
        <w:t xml:space="preserve">. </w:t>
      </w:r>
    </w:p>
    <w:p w14:paraId="25D2BF03" w14:textId="70B6ADC9" w:rsidR="0026160F" w:rsidRPr="00BC5C9F" w:rsidRDefault="0026160F" w:rsidP="00BC5C9F">
      <w:pPr>
        <w:pStyle w:val="NoSpacing"/>
        <w:numPr>
          <w:ilvl w:val="0"/>
          <w:numId w:val="3"/>
        </w:numPr>
        <w:spacing w:line="360" w:lineRule="auto"/>
        <w:rPr>
          <w:rFonts w:ascii="Times New Roman" w:hAnsi="Times New Roman" w:cs="Times New Roman"/>
        </w:rPr>
      </w:pPr>
      <w:r w:rsidRPr="0026160F">
        <w:rPr>
          <w:rFonts w:ascii="Times New Roman" w:hAnsi="Times New Roman" w:cs="Times New Roman"/>
        </w:rPr>
        <w:t>Clarify AFOLU terminology and category as it relates to attributions of sources of carbon emission (pg. 7)</w:t>
      </w:r>
      <w:r w:rsidR="00BC5C9F">
        <w:rPr>
          <w:rFonts w:ascii="Times New Roman" w:hAnsi="Times New Roman" w:cs="Times New Roman"/>
        </w:rPr>
        <w:t xml:space="preserve"> and u</w:t>
      </w:r>
      <w:r w:rsidRPr="00BC5C9F">
        <w:rPr>
          <w:rFonts w:ascii="Times New Roman" w:hAnsi="Times New Roman" w:cs="Times New Roman"/>
        </w:rPr>
        <w:t>pdate language within the body of the report to clarify that the EPA SIT does not account for agricultural stocks in the GHG Emissions Inventory as found on page 12.</w:t>
      </w:r>
    </w:p>
    <w:p w14:paraId="0229B9BC" w14:textId="066459E8" w:rsidR="006D4B21" w:rsidRDefault="00CB7CB6" w:rsidP="00BC5C9F">
      <w:pPr>
        <w:pStyle w:val="NoSpacing"/>
        <w:numPr>
          <w:ilvl w:val="0"/>
          <w:numId w:val="3"/>
        </w:numPr>
        <w:spacing w:line="360" w:lineRule="auto"/>
        <w:rPr>
          <w:rFonts w:ascii="Times New Roman" w:hAnsi="Times New Roman" w:cs="Times New Roman"/>
        </w:rPr>
      </w:pPr>
      <w:r>
        <w:rPr>
          <w:rFonts w:ascii="Times New Roman" w:hAnsi="Times New Roman" w:cs="Times New Roman"/>
        </w:rPr>
        <w:t>Clarify the amount of Urban and Developed land</w:t>
      </w:r>
      <w:r w:rsidR="0036224F">
        <w:rPr>
          <w:rFonts w:ascii="Times New Roman" w:hAnsi="Times New Roman" w:cs="Times New Roman"/>
        </w:rPr>
        <w:t>.</w:t>
      </w:r>
      <w:r w:rsidR="0058208E">
        <w:rPr>
          <w:rFonts w:ascii="Times New Roman" w:hAnsi="Times New Roman" w:cs="Times New Roman"/>
        </w:rPr>
        <w:t xml:space="preserve"> </w:t>
      </w:r>
      <w:r w:rsidR="0026160F" w:rsidRPr="7E078E2E">
        <w:rPr>
          <w:rFonts w:ascii="Times New Roman" w:hAnsi="Times New Roman" w:cs="Times New Roman"/>
        </w:rPr>
        <w:t xml:space="preserve">Page 56 identifies Urban and Developed land as having between 375,000 to 400,000 acres. This figure </w:t>
      </w:r>
      <w:proofErr w:type="gramStart"/>
      <w:r w:rsidR="0026160F" w:rsidRPr="7E078E2E">
        <w:rPr>
          <w:rFonts w:ascii="Times New Roman" w:hAnsi="Times New Roman" w:cs="Times New Roman"/>
        </w:rPr>
        <w:t>is in conflict with</w:t>
      </w:r>
      <w:proofErr w:type="gramEnd"/>
      <w:r w:rsidR="0026160F" w:rsidRPr="7E078E2E">
        <w:rPr>
          <w:rFonts w:ascii="Times New Roman" w:hAnsi="Times New Roman" w:cs="Times New Roman"/>
        </w:rPr>
        <w:t xml:space="preserve"> 118,000 acres of urban and developed land referenced on page 28 of the report.</w:t>
      </w:r>
    </w:p>
    <w:p w14:paraId="3F45E0BA" w14:textId="68A88965" w:rsidR="00643817" w:rsidRDefault="00643817" w:rsidP="00643817">
      <w:pPr>
        <w:pStyle w:val="NoSpacing"/>
        <w:spacing w:line="360" w:lineRule="auto"/>
        <w:rPr>
          <w:rFonts w:ascii="Times New Roman" w:hAnsi="Times New Roman" w:cs="Times New Roman"/>
        </w:rPr>
      </w:pPr>
    </w:p>
    <w:p w14:paraId="285295E5" w14:textId="5FF89374" w:rsidR="00643817" w:rsidRPr="00643817" w:rsidRDefault="00643817" w:rsidP="00643817">
      <w:pPr>
        <w:pStyle w:val="NoSpacing"/>
        <w:spacing w:line="360" w:lineRule="auto"/>
        <w:rPr>
          <w:rFonts w:ascii="Times New Roman" w:hAnsi="Times New Roman" w:cs="Times New Roman"/>
          <w:b/>
          <w:bCs/>
          <w:sz w:val="28"/>
          <w:szCs w:val="24"/>
        </w:rPr>
      </w:pPr>
      <w:r w:rsidRPr="00643817">
        <w:rPr>
          <w:rFonts w:ascii="Times New Roman" w:hAnsi="Times New Roman" w:cs="Times New Roman"/>
          <w:b/>
          <w:bCs/>
          <w:sz w:val="28"/>
          <w:szCs w:val="24"/>
        </w:rPr>
        <w:t>Glossary</w:t>
      </w:r>
    </w:p>
    <w:p w14:paraId="643D4E5E" w14:textId="3FB23968" w:rsidR="00643817" w:rsidRDefault="00643817" w:rsidP="00643817">
      <w:pPr>
        <w:pStyle w:val="NoSpacing"/>
        <w:numPr>
          <w:ilvl w:val="0"/>
          <w:numId w:val="4"/>
        </w:numPr>
        <w:spacing w:line="360" w:lineRule="auto"/>
        <w:rPr>
          <w:rFonts w:ascii="Times New Roman" w:hAnsi="Times New Roman" w:cs="Times New Roman"/>
        </w:rPr>
      </w:pPr>
      <w:r>
        <w:rPr>
          <w:rFonts w:ascii="Times New Roman" w:hAnsi="Times New Roman" w:cs="Times New Roman"/>
        </w:rPr>
        <w:t xml:space="preserve">AFOLU: </w:t>
      </w:r>
      <w:r w:rsidRPr="0005308D">
        <w:rPr>
          <w:rFonts w:ascii="Times New Roman" w:hAnsi="Times New Roman" w:cs="Times New Roman"/>
        </w:rPr>
        <w:t>agriculture, forestry, and other land uses</w:t>
      </w:r>
    </w:p>
    <w:p w14:paraId="3351284B" w14:textId="72EC2EE9" w:rsidR="00206003" w:rsidRDefault="00206003" w:rsidP="00643817">
      <w:pPr>
        <w:pStyle w:val="NoSpacing"/>
        <w:numPr>
          <w:ilvl w:val="0"/>
          <w:numId w:val="4"/>
        </w:numPr>
        <w:spacing w:line="360" w:lineRule="auto"/>
        <w:rPr>
          <w:rFonts w:ascii="Times New Roman" w:hAnsi="Times New Roman" w:cs="Times New Roman"/>
        </w:rPr>
      </w:pPr>
      <w:r>
        <w:rPr>
          <w:rFonts w:ascii="Times New Roman" w:hAnsi="Times New Roman" w:cs="Times New Roman"/>
        </w:rPr>
        <w:t>C</w:t>
      </w:r>
      <w:r w:rsidRPr="009732F2">
        <w:rPr>
          <w:rFonts w:ascii="Times New Roman" w:hAnsi="Times New Roman" w:cs="Times New Roman"/>
        </w:rPr>
        <w:t>arbon budget</w:t>
      </w:r>
      <w:r>
        <w:rPr>
          <w:rFonts w:ascii="Times New Roman" w:hAnsi="Times New Roman" w:cs="Times New Roman"/>
        </w:rPr>
        <w:t xml:space="preserve">: </w:t>
      </w:r>
      <w:r w:rsidR="00F92F1D">
        <w:rPr>
          <w:rFonts w:ascii="Times New Roman" w:hAnsi="Times New Roman" w:cs="Times New Roman"/>
        </w:rPr>
        <w:t xml:space="preserve">the net flux of all </w:t>
      </w:r>
      <w:r w:rsidRPr="009732F2">
        <w:rPr>
          <w:rFonts w:ascii="Times New Roman" w:hAnsi="Times New Roman" w:cs="Times New Roman"/>
        </w:rPr>
        <w:t xml:space="preserve">greenhouse gas emissions and carbon </w:t>
      </w:r>
      <w:r w:rsidR="009E6F5E" w:rsidRPr="009732F2">
        <w:rPr>
          <w:rFonts w:ascii="Times New Roman" w:hAnsi="Times New Roman" w:cs="Times New Roman"/>
        </w:rPr>
        <w:t>s</w:t>
      </w:r>
      <w:r w:rsidR="009E6F5E">
        <w:rPr>
          <w:rFonts w:ascii="Times New Roman" w:hAnsi="Times New Roman" w:cs="Times New Roman"/>
        </w:rPr>
        <w:t>equestration</w:t>
      </w:r>
      <w:r w:rsidRPr="009732F2">
        <w:rPr>
          <w:rFonts w:ascii="Times New Roman" w:hAnsi="Times New Roman" w:cs="Times New Roman"/>
        </w:rPr>
        <w:t xml:space="preserve"> </w:t>
      </w:r>
      <w:r w:rsidR="00F92F1D">
        <w:rPr>
          <w:rFonts w:ascii="Times New Roman" w:hAnsi="Times New Roman" w:cs="Times New Roman"/>
        </w:rPr>
        <w:t xml:space="preserve">related to </w:t>
      </w:r>
      <w:r w:rsidR="00BC51D9">
        <w:rPr>
          <w:rFonts w:ascii="Times New Roman" w:hAnsi="Times New Roman" w:cs="Times New Roman"/>
        </w:rPr>
        <w:t xml:space="preserve">the </w:t>
      </w:r>
      <w:r w:rsidRPr="009732F2">
        <w:rPr>
          <w:rFonts w:ascii="Times New Roman" w:hAnsi="Times New Roman" w:cs="Times New Roman"/>
        </w:rPr>
        <w:t>agriculture, forestry, and other land use</w:t>
      </w:r>
      <w:r w:rsidR="00F92F1D">
        <w:rPr>
          <w:rFonts w:ascii="Times New Roman" w:hAnsi="Times New Roman" w:cs="Times New Roman"/>
        </w:rPr>
        <w:t xml:space="preserve"> </w:t>
      </w:r>
      <w:r w:rsidRPr="009732F2">
        <w:rPr>
          <w:rFonts w:ascii="Times New Roman" w:hAnsi="Times New Roman" w:cs="Times New Roman"/>
        </w:rPr>
        <w:t>(AFOLU)</w:t>
      </w:r>
      <w:r w:rsidR="00F92F1D">
        <w:rPr>
          <w:rFonts w:ascii="Times New Roman" w:hAnsi="Times New Roman" w:cs="Times New Roman"/>
        </w:rPr>
        <w:t xml:space="preserve"> sector</w:t>
      </w:r>
      <w:r>
        <w:rPr>
          <w:rFonts w:ascii="Times New Roman" w:hAnsi="Times New Roman" w:cs="Times New Roman"/>
        </w:rPr>
        <w:t>.</w:t>
      </w:r>
    </w:p>
    <w:p w14:paraId="1069A362" w14:textId="5127D660" w:rsidR="00206003" w:rsidRDefault="00206003" w:rsidP="00206003">
      <w:pPr>
        <w:pStyle w:val="NoSpacing"/>
        <w:numPr>
          <w:ilvl w:val="0"/>
          <w:numId w:val="4"/>
        </w:numPr>
        <w:spacing w:line="360" w:lineRule="auto"/>
        <w:rPr>
          <w:rFonts w:ascii="Times New Roman" w:hAnsi="Times New Roman" w:cs="Times New Roman"/>
        </w:rPr>
      </w:pPr>
      <w:r>
        <w:rPr>
          <w:rFonts w:ascii="Times New Roman" w:hAnsi="Times New Roman" w:cs="Times New Roman"/>
        </w:rPr>
        <w:t>Carbon flux: the rate at which CO</w:t>
      </w:r>
      <w:r w:rsidRPr="00943CE6">
        <w:rPr>
          <w:rFonts w:ascii="Times New Roman" w:hAnsi="Times New Roman" w:cs="Times New Roman"/>
          <w:vertAlign w:val="subscript"/>
        </w:rPr>
        <w:t>2</w:t>
      </w:r>
      <w:r>
        <w:rPr>
          <w:rFonts w:ascii="Times New Roman" w:hAnsi="Times New Roman" w:cs="Times New Roman"/>
        </w:rPr>
        <w:t xml:space="preserve"> is taken in from or released to the atmosphere. P</w:t>
      </w:r>
      <w:r w:rsidRPr="00EB5340">
        <w:rPr>
          <w:rFonts w:ascii="Times New Roman" w:hAnsi="Times New Roman" w:cs="Times New Roman"/>
        </w:rPr>
        <w:t xml:space="preserve">ositive </w:t>
      </w:r>
      <w:r w:rsidRPr="00EB5340">
        <w:rPr>
          <w:rFonts w:ascii="Times New Roman" w:hAnsi="Times New Roman" w:cs="Times New Roman"/>
        </w:rPr>
        <w:lastRenderedPageBreak/>
        <w:t xml:space="preserve">fluxes </w:t>
      </w:r>
      <w:r>
        <w:rPr>
          <w:rFonts w:ascii="Times New Roman" w:hAnsi="Times New Roman" w:cs="Times New Roman"/>
        </w:rPr>
        <w:t>represent CO</w:t>
      </w:r>
      <w:r w:rsidRPr="0097143B">
        <w:rPr>
          <w:rFonts w:ascii="Times New Roman" w:hAnsi="Times New Roman" w:cs="Times New Roman"/>
          <w:vertAlign w:val="subscript"/>
        </w:rPr>
        <w:t>2</w:t>
      </w:r>
      <w:r>
        <w:rPr>
          <w:rFonts w:ascii="Times New Roman" w:hAnsi="Times New Roman" w:cs="Times New Roman"/>
        </w:rPr>
        <w:t xml:space="preserve"> emissions to the atmosphere (also called a carbon source) and n</w:t>
      </w:r>
      <w:r w:rsidRPr="00EB5340">
        <w:rPr>
          <w:rFonts w:ascii="Times New Roman" w:hAnsi="Times New Roman" w:cs="Times New Roman"/>
        </w:rPr>
        <w:t xml:space="preserve">egative fluxes represent </w:t>
      </w:r>
      <w:r>
        <w:rPr>
          <w:rFonts w:ascii="Times New Roman" w:hAnsi="Times New Roman" w:cs="Times New Roman"/>
        </w:rPr>
        <w:t>sequestration of CO</w:t>
      </w:r>
      <w:r w:rsidRPr="0097143B">
        <w:rPr>
          <w:rFonts w:ascii="Times New Roman" w:hAnsi="Times New Roman" w:cs="Times New Roman"/>
          <w:vertAlign w:val="subscript"/>
        </w:rPr>
        <w:t>2</w:t>
      </w:r>
      <w:r>
        <w:rPr>
          <w:rFonts w:ascii="Times New Roman" w:hAnsi="Times New Roman" w:cs="Times New Roman"/>
        </w:rPr>
        <w:t xml:space="preserve"> from the atmosphere (also called a carbon sink)</w:t>
      </w:r>
      <w:r w:rsidRPr="00EB5340">
        <w:rPr>
          <w:rFonts w:ascii="Times New Roman" w:hAnsi="Times New Roman" w:cs="Times New Roman"/>
        </w:rPr>
        <w:t xml:space="preserve">. </w:t>
      </w:r>
      <w:r>
        <w:rPr>
          <w:rFonts w:ascii="Times New Roman" w:hAnsi="Times New Roman" w:cs="Times New Roman"/>
        </w:rPr>
        <w:t>The net carbon flux is the sum or balance of emissions (sources) and sequestration (sinks).</w:t>
      </w:r>
    </w:p>
    <w:p w14:paraId="56939E48" w14:textId="5F9EA56E" w:rsidR="00643817" w:rsidRDefault="00643817" w:rsidP="00643817">
      <w:pPr>
        <w:pStyle w:val="NoSpacing"/>
        <w:numPr>
          <w:ilvl w:val="0"/>
          <w:numId w:val="4"/>
        </w:numPr>
        <w:spacing w:line="360" w:lineRule="auto"/>
        <w:rPr>
          <w:rFonts w:ascii="Times New Roman" w:hAnsi="Times New Roman" w:cs="Times New Roman"/>
        </w:rPr>
      </w:pPr>
      <w:r>
        <w:rPr>
          <w:rFonts w:ascii="Times New Roman" w:hAnsi="Times New Roman" w:cs="Times New Roman"/>
        </w:rPr>
        <w:t>C</w:t>
      </w:r>
      <w:r w:rsidRPr="00EB5340">
        <w:rPr>
          <w:rFonts w:ascii="Times New Roman" w:hAnsi="Times New Roman" w:cs="Times New Roman"/>
        </w:rPr>
        <w:t>arbon stock</w:t>
      </w:r>
      <w:r>
        <w:rPr>
          <w:rFonts w:ascii="Times New Roman" w:hAnsi="Times New Roman" w:cs="Times New Roman"/>
        </w:rPr>
        <w:t>:</w:t>
      </w:r>
      <w:r w:rsidRPr="00EB5340">
        <w:rPr>
          <w:rFonts w:ascii="Times New Roman" w:hAnsi="Times New Roman" w:cs="Times New Roman"/>
        </w:rPr>
        <w:t xml:space="preserve"> how much </w:t>
      </w:r>
      <w:r>
        <w:rPr>
          <w:rFonts w:ascii="Times New Roman" w:hAnsi="Times New Roman" w:cs="Times New Roman"/>
        </w:rPr>
        <w:t>CO</w:t>
      </w:r>
      <w:r w:rsidRPr="002D04DB">
        <w:rPr>
          <w:rFonts w:ascii="Times New Roman" w:hAnsi="Times New Roman" w:cs="Times New Roman"/>
          <w:vertAlign w:val="subscript"/>
        </w:rPr>
        <w:t>2</w:t>
      </w:r>
      <w:r w:rsidRPr="00EB5340">
        <w:rPr>
          <w:rFonts w:ascii="Times New Roman" w:hAnsi="Times New Roman" w:cs="Times New Roman"/>
        </w:rPr>
        <w:t xml:space="preserve"> has been stored </w:t>
      </w:r>
      <w:r>
        <w:rPr>
          <w:rFonts w:ascii="Times New Roman" w:hAnsi="Times New Roman" w:cs="Times New Roman"/>
        </w:rPr>
        <w:t xml:space="preserve">in an entity, like a tree or an acre of land. </w:t>
      </w:r>
    </w:p>
    <w:sectPr w:rsidR="00643817" w:rsidSect="00550BE7">
      <w:footerReference w:type="default" r:id="rId12"/>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siba, Alexandra" w:date="2021-11-11T12:59:00Z" w:initials="KA">
    <w:p w14:paraId="2A6B5182" w14:textId="5B824F02" w:rsidR="00B5532D" w:rsidRDefault="00B5532D" w:rsidP="00D318F3">
      <w:pPr>
        <w:pStyle w:val="CommentText"/>
      </w:pPr>
      <w:r>
        <w:rPr>
          <w:rStyle w:val="CommentReference"/>
        </w:rPr>
        <w:annotationRef/>
      </w:r>
      <w:r>
        <w:t xml:space="preserve">Just flagging for formatting that in Word negative signs can get separated </w:t>
      </w:r>
      <w:r w:rsidR="00236282">
        <w:t xml:space="preserve">on a different line </w:t>
      </w:r>
      <w:r>
        <w:t xml:space="preserve">from their values. </w:t>
      </w:r>
    </w:p>
  </w:comment>
  <w:comment w:id="2" w:author="Kosiba, Alexandra" w:date="2021-11-15T09:57:00Z" w:initials="KA">
    <w:p w14:paraId="70C43939" w14:textId="21ABC38D" w:rsidR="00C16BE9" w:rsidRDefault="00C16BE9">
      <w:pPr>
        <w:pStyle w:val="CommentText"/>
      </w:pPr>
      <w:r>
        <w:rPr>
          <w:rStyle w:val="CommentReference"/>
        </w:rPr>
        <w:annotationRef/>
      </w:r>
      <w:r w:rsidR="00404D62">
        <w:t xml:space="preserve">Jane </w:t>
      </w:r>
      <w:r w:rsidR="00046D04">
        <w:t>–</w:t>
      </w:r>
      <w:r w:rsidR="00404D62">
        <w:t xml:space="preserve"> </w:t>
      </w:r>
      <w:r w:rsidR="00046D04">
        <w:t xml:space="preserve">this came from the Ag and Eco sub-committee recommendations. I am not sure if it is appropriate to include here or not.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6B5182" w15:done="0"/>
  <w15:commentEx w15:paraId="70C439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9214" w16cex:dateUtc="2021-11-11T17:59:00Z"/>
  <w16cex:commentExtensible w16cex:durableId="253CAD78" w16cex:dateUtc="2021-11-15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B5182" w16cid:durableId="25379214"/>
  <w16cid:commentId w16cid:paraId="70C43939" w16cid:durableId="253CAD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4CBE" w14:textId="77777777" w:rsidR="00450200" w:rsidRDefault="00450200" w:rsidP="005F7D3A">
      <w:pPr>
        <w:spacing w:after="0" w:line="240" w:lineRule="auto"/>
      </w:pPr>
      <w:r>
        <w:separator/>
      </w:r>
    </w:p>
  </w:endnote>
  <w:endnote w:type="continuationSeparator" w:id="0">
    <w:p w14:paraId="7215FD3C" w14:textId="77777777" w:rsidR="00450200" w:rsidRDefault="00450200" w:rsidP="005F7D3A">
      <w:pPr>
        <w:spacing w:after="0" w:line="240" w:lineRule="auto"/>
      </w:pPr>
      <w:r>
        <w:continuationSeparator/>
      </w:r>
    </w:p>
  </w:endnote>
  <w:endnote w:type="continuationNotice" w:id="1">
    <w:p w14:paraId="43E8297E" w14:textId="77777777" w:rsidR="00450200" w:rsidRDefault="00450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99823"/>
      <w:docPartObj>
        <w:docPartGallery w:val="Page Numbers (Bottom of Page)"/>
        <w:docPartUnique/>
      </w:docPartObj>
    </w:sdtPr>
    <w:sdtEndPr>
      <w:rPr>
        <w:rFonts w:ascii="Times New Roman" w:hAnsi="Times New Roman" w:cs="Times New Roman"/>
        <w:noProof/>
        <w:sz w:val="24"/>
        <w:szCs w:val="24"/>
      </w:rPr>
    </w:sdtEndPr>
    <w:sdtContent>
      <w:p w14:paraId="44595A69" w14:textId="7863B633" w:rsidR="005F7D3A" w:rsidRPr="005F7D3A" w:rsidRDefault="005F7D3A">
        <w:pPr>
          <w:pStyle w:val="Footer"/>
          <w:jc w:val="right"/>
          <w:rPr>
            <w:rFonts w:ascii="Times New Roman" w:hAnsi="Times New Roman" w:cs="Times New Roman"/>
            <w:sz w:val="24"/>
            <w:szCs w:val="24"/>
          </w:rPr>
        </w:pPr>
        <w:r w:rsidRPr="005F7D3A">
          <w:rPr>
            <w:rFonts w:ascii="Times New Roman" w:hAnsi="Times New Roman" w:cs="Times New Roman"/>
            <w:color w:val="2B579A"/>
            <w:sz w:val="24"/>
            <w:szCs w:val="24"/>
            <w:shd w:val="clear" w:color="auto" w:fill="E6E6E6"/>
          </w:rPr>
          <w:fldChar w:fldCharType="begin"/>
        </w:r>
        <w:r w:rsidRPr="005F7D3A">
          <w:rPr>
            <w:rFonts w:ascii="Times New Roman" w:hAnsi="Times New Roman" w:cs="Times New Roman"/>
            <w:sz w:val="24"/>
            <w:szCs w:val="24"/>
          </w:rPr>
          <w:instrText xml:space="preserve"> PAGE   \* MERGEFORMAT </w:instrText>
        </w:r>
        <w:r w:rsidRPr="005F7D3A">
          <w:rPr>
            <w:rFonts w:ascii="Times New Roman" w:hAnsi="Times New Roman" w:cs="Times New Roman"/>
            <w:color w:val="2B579A"/>
            <w:sz w:val="24"/>
            <w:szCs w:val="24"/>
            <w:shd w:val="clear" w:color="auto" w:fill="E6E6E6"/>
          </w:rPr>
          <w:fldChar w:fldCharType="separate"/>
        </w:r>
        <w:r w:rsidRPr="005F7D3A">
          <w:rPr>
            <w:rFonts w:ascii="Times New Roman" w:hAnsi="Times New Roman" w:cs="Times New Roman"/>
            <w:noProof/>
            <w:sz w:val="24"/>
            <w:szCs w:val="24"/>
          </w:rPr>
          <w:t>2</w:t>
        </w:r>
        <w:r w:rsidRPr="005F7D3A">
          <w:rPr>
            <w:rFonts w:ascii="Times New Roman" w:hAnsi="Times New Roman" w:cs="Times New Roman"/>
            <w:color w:val="2B579A"/>
            <w:sz w:val="24"/>
            <w:szCs w:val="24"/>
            <w:shd w:val="clear" w:color="auto" w:fill="E6E6E6"/>
          </w:rPr>
          <w:fldChar w:fldCharType="end"/>
        </w:r>
      </w:p>
    </w:sdtContent>
  </w:sdt>
  <w:p w14:paraId="1FBC2C52" w14:textId="77777777" w:rsidR="005F7D3A" w:rsidRDefault="005F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034D" w14:textId="77777777" w:rsidR="00450200" w:rsidRDefault="00450200" w:rsidP="005F7D3A">
      <w:pPr>
        <w:spacing w:after="0" w:line="240" w:lineRule="auto"/>
      </w:pPr>
      <w:r>
        <w:separator/>
      </w:r>
    </w:p>
  </w:footnote>
  <w:footnote w:type="continuationSeparator" w:id="0">
    <w:p w14:paraId="305677F1" w14:textId="77777777" w:rsidR="00450200" w:rsidRDefault="00450200" w:rsidP="005F7D3A">
      <w:pPr>
        <w:spacing w:after="0" w:line="240" w:lineRule="auto"/>
      </w:pPr>
      <w:r>
        <w:continuationSeparator/>
      </w:r>
    </w:p>
  </w:footnote>
  <w:footnote w:type="continuationNotice" w:id="1">
    <w:p w14:paraId="4F4046B0" w14:textId="77777777" w:rsidR="00450200" w:rsidRDefault="00450200">
      <w:pPr>
        <w:spacing w:after="0" w:line="240" w:lineRule="auto"/>
      </w:pPr>
    </w:p>
  </w:footnote>
  <w:footnote w:id="2">
    <w:p w14:paraId="72B7DF83" w14:textId="7E613742" w:rsidR="00143B3D" w:rsidRPr="00143B3D" w:rsidRDefault="004A6AEC" w:rsidP="00B442F5">
      <w:pPr>
        <w:pStyle w:val="FootnoteText"/>
        <w:spacing w:after="0"/>
        <w:rPr>
          <w:rFonts w:ascii="Times New Roman" w:hAnsi="Times New Roman" w:cs="Times New Roman"/>
        </w:rPr>
      </w:pPr>
      <w:r w:rsidRPr="00E51A5E">
        <w:rPr>
          <w:rStyle w:val="FootnoteReference"/>
          <w:rFonts w:ascii="Times New Roman" w:hAnsi="Times New Roman" w:cs="Times New Roman"/>
        </w:rPr>
        <w:footnoteRef/>
      </w:r>
      <w:r w:rsidRPr="00E51A5E">
        <w:rPr>
          <w:rFonts w:ascii="Times New Roman" w:hAnsi="Times New Roman" w:cs="Times New Roman"/>
        </w:rPr>
        <w:t xml:space="preserve"> </w:t>
      </w:r>
      <w:r w:rsidR="00E51A5E" w:rsidRPr="00E51A5E">
        <w:rPr>
          <w:rFonts w:ascii="Times New Roman" w:hAnsi="Times New Roman" w:cs="Times New Roman"/>
        </w:rPr>
        <w:t xml:space="preserve">USGS. 2019. </w:t>
      </w:r>
      <w:r w:rsidRPr="00E51A5E">
        <w:rPr>
          <w:rFonts w:ascii="Times New Roman" w:hAnsi="Times New Roman" w:cs="Times New Roman"/>
        </w:rPr>
        <w:t>National Land Cover Data</w:t>
      </w:r>
      <w:r w:rsidR="00BD2F07">
        <w:rPr>
          <w:rFonts w:ascii="Times New Roman" w:hAnsi="Times New Roman" w:cs="Times New Roman"/>
        </w:rPr>
        <w:t>base</w:t>
      </w:r>
      <w:r w:rsidR="00E51A5E" w:rsidRPr="00E51A5E">
        <w:rPr>
          <w:rFonts w:ascii="Times New Roman" w:hAnsi="Times New Roman" w:cs="Times New Roman"/>
        </w:rPr>
        <w:t>.</w:t>
      </w:r>
      <w:r w:rsidR="00BD2F07">
        <w:rPr>
          <w:rFonts w:ascii="Times New Roman" w:hAnsi="Times New Roman" w:cs="Times New Roman"/>
        </w:rPr>
        <w:t xml:space="preserve"> </w:t>
      </w:r>
      <w:hyperlink r:id="rId1" w:history="1">
        <w:r w:rsidR="00143B3D" w:rsidRPr="00E0548B">
          <w:rPr>
            <w:rStyle w:val="Hyperlink"/>
            <w:rFonts w:ascii="Times New Roman" w:hAnsi="Times New Roman" w:cs="Times New Roman"/>
          </w:rPr>
          <w:t>https://www.mrlc.gov/</w:t>
        </w:r>
      </w:hyperlink>
    </w:p>
  </w:footnote>
  <w:footnote w:id="3">
    <w:p w14:paraId="1C9BB3A5" w14:textId="6E51B506" w:rsidR="007C5E3E" w:rsidRPr="004A6AEC" w:rsidRDefault="007C5E3E" w:rsidP="00B442F5">
      <w:pPr>
        <w:pStyle w:val="FootnoteText"/>
        <w:spacing w:after="0"/>
        <w:rPr>
          <w:rFonts w:ascii="Times New Roman" w:hAnsi="Times New Roman" w:cs="Times New Roman"/>
        </w:rPr>
      </w:pPr>
      <w:r w:rsidRPr="004C5019">
        <w:rPr>
          <w:rStyle w:val="FootnoteReference"/>
          <w:rFonts w:ascii="Times New Roman" w:hAnsi="Times New Roman" w:cs="Times New Roman"/>
        </w:rPr>
        <w:footnoteRef/>
      </w:r>
      <w:r w:rsidRPr="004C5019">
        <w:rPr>
          <w:rFonts w:ascii="Times New Roman" w:hAnsi="Times New Roman" w:cs="Times New Roman"/>
        </w:rPr>
        <w:t xml:space="preserve"> Galford G, Darby H, Hall F, and Kosiba AM. 2021. </w:t>
      </w:r>
      <w:r w:rsidRPr="00DB7239">
        <w:rPr>
          <w:rFonts w:ascii="Times New Roman" w:hAnsi="Times New Roman" w:cs="Times New Roman"/>
          <w:i/>
          <w:iCs/>
        </w:rPr>
        <w:t>A Carbon Budget for Vermont</w:t>
      </w:r>
      <w:r w:rsidRPr="004C5019">
        <w:rPr>
          <w:rFonts w:ascii="Times New Roman" w:hAnsi="Times New Roman" w:cs="Times New Roman"/>
        </w:rPr>
        <w:t>.</w:t>
      </w:r>
      <w:r w:rsidRPr="004A6AEC">
        <w:rPr>
          <w:rFonts w:ascii="Times New Roman" w:hAnsi="Times New Roman" w:cs="Times New Roman"/>
        </w:rPr>
        <w:t xml:space="preserve"> </w:t>
      </w:r>
    </w:p>
  </w:footnote>
  <w:footnote w:id="4">
    <w:p w14:paraId="1B15CDF0" w14:textId="12A14BAE" w:rsidR="006D665A" w:rsidRPr="006D665A" w:rsidRDefault="006D665A" w:rsidP="00B442F5">
      <w:pPr>
        <w:pStyle w:val="FootnoteText"/>
        <w:spacing w:after="0"/>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concept of a carbon budget for Vermont was informed by other carbon budgets, like the </w:t>
      </w:r>
      <w:r w:rsidRPr="00E46B41">
        <w:rPr>
          <w:rFonts w:ascii="Times New Roman" w:hAnsi="Times New Roman" w:cs="Times New Roman"/>
          <w:i/>
          <w:iCs/>
        </w:rPr>
        <w:t>Global Carbon Budget</w:t>
      </w:r>
      <w:r>
        <w:rPr>
          <w:rFonts w:ascii="Times New Roman" w:hAnsi="Times New Roman" w:cs="Times New Roman"/>
        </w:rPr>
        <w:t xml:space="preserve"> (</w:t>
      </w:r>
      <w:r w:rsidRPr="00A9261A">
        <w:rPr>
          <w:rFonts w:ascii="Times New Roman" w:hAnsi="Times New Roman" w:cs="Times New Roman"/>
        </w:rPr>
        <w:t>Friedlingstein</w:t>
      </w:r>
      <w:r>
        <w:rPr>
          <w:rFonts w:ascii="Times New Roman" w:hAnsi="Times New Roman" w:cs="Times New Roman"/>
        </w:rPr>
        <w:t xml:space="preserve"> et al. </w:t>
      </w:r>
      <w:r w:rsidRPr="00A9261A">
        <w:rPr>
          <w:rFonts w:ascii="Times New Roman" w:hAnsi="Times New Roman" w:cs="Times New Roman"/>
        </w:rPr>
        <w:t>2020. Earth System Science Data, 12(4), pp.</w:t>
      </w:r>
      <w:r>
        <w:rPr>
          <w:rFonts w:ascii="Times New Roman" w:hAnsi="Times New Roman" w:cs="Times New Roman"/>
        </w:rPr>
        <w:t xml:space="preserve"> </w:t>
      </w:r>
      <w:r w:rsidRPr="00A9261A">
        <w:rPr>
          <w:rFonts w:ascii="Times New Roman" w:hAnsi="Times New Roman" w:cs="Times New Roman"/>
        </w:rPr>
        <w:t>3269-3340</w:t>
      </w:r>
      <w:r>
        <w:rPr>
          <w:rFonts w:ascii="Times New Roman" w:hAnsi="Times New Roman" w:cs="Times New Roman"/>
        </w:rPr>
        <w:t xml:space="preserve">) and </w:t>
      </w:r>
      <w:r w:rsidRPr="00831F1E">
        <w:rPr>
          <w:rFonts w:ascii="Times New Roman" w:hAnsi="Times New Roman" w:cs="Times New Roman"/>
          <w:i/>
          <w:iCs/>
        </w:rPr>
        <w:t>State of</w:t>
      </w:r>
      <w:r>
        <w:rPr>
          <w:rFonts w:ascii="Times New Roman" w:hAnsi="Times New Roman" w:cs="Times New Roman"/>
        </w:rPr>
        <w:t xml:space="preserve"> </w:t>
      </w:r>
      <w:r w:rsidRPr="00F218DF">
        <w:rPr>
          <w:rFonts w:ascii="Times New Roman" w:hAnsi="Times New Roman" w:cs="Times New Roman"/>
          <w:i/>
          <w:iCs/>
        </w:rPr>
        <w:t>Maine Carbon Budget</w:t>
      </w:r>
      <w:r>
        <w:rPr>
          <w:rFonts w:ascii="Times New Roman" w:hAnsi="Times New Roman" w:cs="Times New Roman"/>
        </w:rPr>
        <w:t xml:space="preserve"> (Bai et al. 2020. </w:t>
      </w:r>
      <w:hyperlink r:id="rId2" w:history="1">
        <w:r w:rsidRPr="00E0548B">
          <w:rPr>
            <w:rStyle w:val="Hyperlink"/>
            <w:rFonts w:ascii="Times New Roman" w:hAnsi="Times New Roman" w:cs="Times New Roman"/>
          </w:rPr>
          <w:t>https://crsf.umaine.edu/forest-climate-change-initiative/carbon-budget/</w:t>
        </w:r>
      </w:hyperlink>
      <w:r>
        <w:rPr>
          <w:rFonts w:ascii="Times New Roman" w:hAnsi="Times New Roman" w:cs="Times New Roman"/>
        </w:rPr>
        <w:t xml:space="preserve">). The term </w:t>
      </w:r>
      <w:r w:rsidRPr="009732F2">
        <w:rPr>
          <w:rFonts w:ascii="Times New Roman" w:hAnsi="Times New Roman" w:cs="Times New Roman"/>
        </w:rPr>
        <w:t xml:space="preserve">carbon budget </w:t>
      </w:r>
      <w:r w:rsidR="00E0272F">
        <w:rPr>
          <w:rFonts w:ascii="Times New Roman" w:hAnsi="Times New Roman" w:cs="Times New Roman"/>
        </w:rPr>
        <w:t>here</w:t>
      </w:r>
      <w:r w:rsidRPr="009732F2">
        <w:rPr>
          <w:rFonts w:ascii="Times New Roman" w:hAnsi="Times New Roman" w:cs="Times New Roman"/>
        </w:rPr>
        <w:t xml:space="preserve"> </w:t>
      </w:r>
      <w:r w:rsidR="00357CA0">
        <w:rPr>
          <w:rFonts w:ascii="Times New Roman" w:hAnsi="Times New Roman" w:cs="Times New Roman"/>
        </w:rPr>
        <w:t>refers to</w:t>
      </w:r>
      <w:r w:rsidR="00841FC6" w:rsidRPr="00841FC6">
        <w:rPr>
          <w:rFonts w:ascii="Times New Roman" w:hAnsi="Times New Roman" w:cs="Times New Roman"/>
        </w:rPr>
        <w:t xml:space="preserve"> </w:t>
      </w:r>
      <w:r w:rsidR="00F92F1D" w:rsidRPr="00F92F1D">
        <w:rPr>
          <w:rFonts w:ascii="Times New Roman" w:hAnsi="Times New Roman" w:cs="Times New Roman"/>
        </w:rPr>
        <w:t>the net flux of all greenhouse gas emissions and carbon sequestration related to agriculture, forestry, and other land use (AFOLU) sector.</w:t>
      </w:r>
      <w:r>
        <w:rPr>
          <w:rFonts w:ascii="Times New Roman" w:hAnsi="Times New Roman" w:cs="Times New Roman"/>
        </w:rPr>
        <w:t xml:space="preserve"> </w:t>
      </w:r>
      <w:r w:rsidR="00357CA0">
        <w:rPr>
          <w:rFonts w:ascii="Times New Roman" w:hAnsi="Times New Roman" w:cs="Times New Roman"/>
        </w:rPr>
        <w:t xml:space="preserve">While </w:t>
      </w:r>
      <w:r>
        <w:rPr>
          <w:rFonts w:ascii="Times New Roman" w:hAnsi="Times New Roman" w:cs="Times New Roman"/>
        </w:rPr>
        <w:t xml:space="preserve">it </w:t>
      </w:r>
      <w:r w:rsidRPr="009732F2">
        <w:rPr>
          <w:rFonts w:ascii="Times New Roman" w:hAnsi="Times New Roman" w:cs="Times New Roman"/>
        </w:rPr>
        <w:t xml:space="preserve">may also be </w:t>
      </w:r>
      <w:r>
        <w:rPr>
          <w:rFonts w:ascii="Times New Roman" w:hAnsi="Times New Roman" w:cs="Times New Roman"/>
        </w:rPr>
        <w:t xml:space="preserve">considered </w:t>
      </w:r>
      <w:r w:rsidRPr="009732F2">
        <w:rPr>
          <w:rFonts w:ascii="Times New Roman" w:hAnsi="Times New Roman" w:cs="Times New Roman"/>
        </w:rPr>
        <w:t>a carbon inventory</w:t>
      </w:r>
      <w:r w:rsidR="00357CA0">
        <w:rPr>
          <w:rFonts w:ascii="Times New Roman" w:hAnsi="Times New Roman" w:cs="Times New Roman"/>
        </w:rPr>
        <w:t>, t</w:t>
      </w:r>
      <w:r w:rsidR="00E354DF">
        <w:rPr>
          <w:rFonts w:ascii="Times New Roman" w:hAnsi="Times New Roman" w:cs="Times New Roman"/>
        </w:rPr>
        <w:t>he</w:t>
      </w:r>
      <w:r>
        <w:rPr>
          <w:rFonts w:ascii="Times New Roman" w:hAnsi="Times New Roman" w:cs="Times New Roman"/>
        </w:rPr>
        <w:t xml:space="preserve"> use of</w:t>
      </w:r>
      <w:r w:rsidRPr="009732F2">
        <w:rPr>
          <w:rFonts w:ascii="Times New Roman" w:hAnsi="Times New Roman" w:cs="Times New Roman"/>
        </w:rPr>
        <w:t xml:space="preserve"> </w:t>
      </w:r>
      <w:r w:rsidR="00404D62">
        <w:rPr>
          <w:rFonts w:ascii="Times New Roman" w:hAnsi="Times New Roman" w:cs="Times New Roman"/>
        </w:rPr>
        <w:t>“</w:t>
      </w:r>
      <w:r w:rsidRPr="009732F2">
        <w:rPr>
          <w:rFonts w:ascii="Times New Roman" w:hAnsi="Times New Roman" w:cs="Times New Roman"/>
        </w:rPr>
        <w:t>budget</w:t>
      </w:r>
      <w:r w:rsidR="00404D62">
        <w:rPr>
          <w:rFonts w:ascii="Times New Roman" w:hAnsi="Times New Roman" w:cs="Times New Roman"/>
        </w:rPr>
        <w:t>”</w:t>
      </w:r>
      <w:r>
        <w:rPr>
          <w:rFonts w:ascii="Times New Roman" w:hAnsi="Times New Roman" w:cs="Times New Roman"/>
        </w:rPr>
        <w:t xml:space="preserve"> also helps distinguish it</w:t>
      </w:r>
      <w:r w:rsidRPr="009732F2">
        <w:rPr>
          <w:rFonts w:ascii="Times New Roman" w:hAnsi="Times New Roman" w:cs="Times New Roman"/>
        </w:rPr>
        <w:t xml:space="preserve"> from Vermont’s </w:t>
      </w:r>
      <w:r w:rsidRPr="003975E9">
        <w:rPr>
          <w:rFonts w:ascii="Times New Roman" w:hAnsi="Times New Roman" w:cs="Times New Roman"/>
          <w:i/>
          <w:iCs/>
        </w:rPr>
        <w:t>Greenhouse Gas Emissions Inventory</w:t>
      </w:r>
      <w:r w:rsidR="003975E9">
        <w:rPr>
          <w:rFonts w:ascii="Times New Roman" w:hAnsi="Times New Roman" w:cs="Times New Roman"/>
          <w:i/>
          <w:iCs/>
        </w:rPr>
        <w:t xml:space="preserve"> </w:t>
      </w:r>
      <w:r w:rsidR="003975E9" w:rsidRPr="003975E9">
        <w:rPr>
          <w:rFonts w:ascii="Times New Roman" w:hAnsi="Times New Roman" w:cs="Times New Roman"/>
        </w:rPr>
        <w:t>(VT DEC)</w:t>
      </w:r>
      <w:r w:rsidRPr="003975E9">
        <w:rPr>
          <w:rFonts w:ascii="Times New Roman" w:hAnsi="Times New Roman" w:cs="Times New Roman"/>
        </w:rPr>
        <w:t>.</w:t>
      </w:r>
      <w:r w:rsidRPr="009732F2">
        <w:rPr>
          <w:rFonts w:ascii="Times New Roman" w:hAnsi="Times New Roman" w:cs="Times New Roman"/>
        </w:rPr>
        <w:t xml:space="preserve"> </w:t>
      </w:r>
      <w:r w:rsidR="00CD248E">
        <w:rPr>
          <w:rFonts w:ascii="Times New Roman" w:hAnsi="Times New Roman" w:cs="Times New Roman"/>
        </w:rPr>
        <w:t>This use aligns with</w:t>
      </w:r>
      <w:r w:rsidR="007828AE">
        <w:rPr>
          <w:rFonts w:ascii="Times New Roman" w:hAnsi="Times New Roman" w:cs="Times New Roman"/>
        </w:rPr>
        <w:t xml:space="preserve"> </w:t>
      </w:r>
      <w:r w:rsidR="00EF6891">
        <w:rPr>
          <w:rFonts w:ascii="Times New Roman" w:hAnsi="Times New Roman" w:cs="Times New Roman"/>
        </w:rPr>
        <w:t xml:space="preserve">the </w:t>
      </w:r>
      <w:r w:rsidR="007828AE">
        <w:rPr>
          <w:rFonts w:ascii="Times New Roman" w:hAnsi="Times New Roman" w:cs="Times New Roman"/>
        </w:rPr>
        <w:t>n</w:t>
      </w:r>
      <w:r w:rsidR="00CF2A94">
        <w:rPr>
          <w:rFonts w:ascii="Times New Roman" w:hAnsi="Times New Roman" w:cs="Times New Roman"/>
        </w:rPr>
        <w:t>ewest IPCC report (</w:t>
      </w:r>
      <w:proofErr w:type="spellStart"/>
      <w:r w:rsidR="00CF2A94">
        <w:rPr>
          <w:rFonts w:ascii="Times New Roman" w:hAnsi="Times New Roman" w:cs="Times New Roman"/>
        </w:rPr>
        <w:t>AR6</w:t>
      </w:r>
      <w:proofErr w:type="spellEnd"/>
      <w:r w:rsidR="00CF2A94">
        <w:rPr>
          <w:rFonts w:ascii="Times New Roman" w:hAnsi="Times New Roman" w:cs="Times New Roman"/>
        </w:rPr>
        <w:t>)</w:t>
      </w:r>
      <w:r w:rsidR="00EF6891">
        <w:rPr>
          <w:rFonts w:ascii="Times New Roman" w:hAnsi="Times New Roman" w:cs="Times New Roman"/>
        </w:rPr>
        <w:t xml:space="preserve"> that has the proposed terms:</w:t>
      </w:r>
      <w:r w:rsidR="00CF2A94">
        <w:rPr>
          <w:rFonts w:ascii="Times New Roman" w:hAnsi="Times New Roman" w:cs="Times New Roman"/>
        </w:rPr>
        <w:t xml:space="preserve"> </w:t>
      </w:r>
      <w:r w:rsidR="008E06C0">
        <w:rPr>
          <w:rFonts w:ascii="Times New Roman" w:hAnsi="Times New Roman" w:cs="Times New Roman"/>
        </w:rPr>
        <w:t>“carbon budget” and</w:t>
      </w:r>
      <w:r>
        <w:rPr>
          <w:rFonts w:ascii="Times New Roman" w:hAnsi="Times New Roman" w:cs="Times New Roman"/>
        </w:rPr>
        <w:t xml:space="preserve"> </w:t>
      </w:r>
      <w:r w:rsidR="00AD6D94">
        <w:rPr>
          <w:rFonts w:ascii="Times New Roman" w:hAnsi="Times New Roman" w:cs="Times New Roman"/>
        </w:rPr>
        <w:t>“remaining carbon budget</w:t>
      </w:r>
      <w:r w:rsidR="00577B14">
        <w:rPr>
          <w:rFonts w:ascii="Times New Roman" w:hAnsi="Times New Roman" w:cs="Times New Roman"/>
        </w:rPr>
        <w:t>”</w:t>
      </w:r>
      <w:r w:rsidR="008E06C0">
        <w:rPr>
          <w:rFonts w:ascii="Times New Roman" w:hAnsi="Times New Roman" w:cs="Times New Roman"/>
        </w:rPr>
        <w:t xml:space="preserve"> </w:t>
      </w:r>
      <w:r w:rsidR="00AE1297">
        <w:rPr>
          <w:rFonts w:ascii="Times New Roman" w:hAnsi="Times New Roman" w:cs="Times New Roman"/>
        </w:rPr>
        <w:t>(</w:t>
      </w:r>
      <w:r w:rsidR="004C1A21">
        <w:rPr>
          <w:rFonts w:ascii="Times New Roman" w:hAnsi="Times New Roman" w:cs="Times New Roman"/>
        </w:rPr>
        <w:t xml:space="preserve">see </w:t>
      </w:r>
      <w:r w:rsidR="008E06C0">
        <w:rPr>
          <w:rFonts w:ascii="Times New Roman" w:hAnsi="Times New Roman" w:cs="Times New Roman"/>
        </w:rPr>
        <w:t xml:space="preserve">draft glossary </w:t>
      </w:r>
      <w:hyperlink r:id="rId3" w:history="1">
        <w:r w:rsidR="008E06C0" w:rsidRPr="00457BCA">
          <w:rPr>
            <w:rStyle w:val="Hyperlink"/>
            <w:rFonts w:ascii="Times New Roman" w:hAnsi="Times New Roman" w:cs="Times New Roman"/>
          </w:rPr>
          <w:t>https://www.ipcc.ch/report/sr15/glossary/</w:t>
        </w:r>
      </w:hyperlink>
      <w:r w:rsidR="00AE1297">
        <w:rPr>
          <w:rFonts w:ascii="Times New Roman" w:hAnsi="Times New Roman" w:cs="Times New Roman"/>
        </w:rPr>
        <w:t>)</w:t>
      </w:r>
      <w:r w:rsidR="007828AE">
        <w:rPr>
          <w:rFonts w:ascii="Times New Roman" w:hAnsi="Times New Roman" w:cs="Times New Roman"/>
        </w:rPr>
        <w:t>.</w:t>
      </w:r>
    </w:p>
  </w:footnote>
  <w:footnote w:id="5">
    <w:p w14:paraId="2211DE99" w14:textId="64E40980" w:rsidR="00E56E85" w:rsidRPr="00E56E85" w:rsidRDefault="00883875" w:rsidP="00A360AC">
      <w:pPr>
        <w:pStyle w:val="FootnoteText"/>
        <w:spacing w:after="0"/>
        <w:rPr>
          <w:rFonts w:ascii="Times New Roman" w:hAnsi="Times New Roman" w:cs="Times New Roman"/>
        </w:rPr>
      </w:pPr>
      <w:r w:rsidRPr="004E16DF">
        <w:rPr>
          <w:rStyle w:val="FootnoteReference"/>
          <w:rFonts w:ascii="Times New Roman" w:hAnsi="Times New Roman"/>
        </w:rPr>
        <w:footnoteRef/>
      </w:r>
      <w:r w:rsidRPr="004E16DF">
        <w:rPr>
          <w:rFonts w:ascii="Times New Roman" w:hAnsi="Times New Roman"/>
        </w:rPr>
        <w:t xml:space="preserve"> </w:t>
      </w:r>
      <w:r w:rsidR="00F218DF" w:rsidRPr="00E56E85">
        <w:rPr>
          <w:rFonts w:ascii="Times New Roman" w:hAnsi="Times New Roman" w:cs="Times New Roman"/>
        </w:rPr>
        <w:t>Vermont</w:t>
      </w:r>
      <w:r w:rsidR="00F218DF">
        <w:rPr>
          <w:rFonts w:ascii="Times New Roman" w:hAnsi="Times New Roman" w:cs="Times New Roman"/>
        </w:rPr>
        <w:t xml:space="preserve"> Department of Environmental Conservation</w:t>
      </w:r>
      <w:r w:rsidR="00F218DF">
        <w:rPr>
          <w:rFonts w:ascii="Times New Roman" w:hAnsi="Times New Roman" w:cs="Times New Roman"/>
          <w:i/>
          <w:iCs/>
        </w:rPr>
        <w:t xml:space="preserve">, </w:t>
      </w:r>
      <w:r w:rsidR="00F218DF">
        <w:rPr>
          <w:rFonts w:ascii="Times New Roman" w:hAnsi="Times New Roman" w:cs="Times New Roman"/>
        </w:rPr>
        <w:t xml:space="preserve">Air Quality and Climate Division. 2021. </w:t>
      </w:r>
      <w:r w:rsidR="00F218DF" w:rsidRPr="00F218DF">
        <w:rPr>
          <w:rFonts w:ascii="Times New Roman" w:hAnsi="Times New Roman" w:cs="Times New Roman"/>
          <w:i/>
          <w:iCs/>
        </w:rPr>
        <w:t xml:space="preserve">Vermont </w:t>
      </w:r>
      <w:r w:rsidR="00F218DF" w:rsidRPr="00F218DF">
        <w:rPr>
          <w:rStyle w:val="CommentReference"/>
          <w:i/>
          <w:iCs/>
        </w:rPr>
        <w:annotationRef/>
      </w:r>
      <w:r w:rsidR="00F218DF" w:rsidRPr="00F218DF">
        <w:rPr>
          <w:rStyle w:val="CommentReference"/>
          <w:rFonts w:ascii="Cambria" w:hAnsi="Cambria" w:cs="Cambria"/>
          <w:i/>
          <w:iCs/>
        </w:rPr>
        <w:annotationRef/>
      </w:r>
      <w:r w:rsidR="00F218DF" w:rsidRPr="00F218DF">
        <w:rPr>
          <w:rFonts w:ascii="Times New Roman" w:hAnsi="Times New Roman" w:cs="Times New Roman"/>
          <w:i/>
          <w:iCs/>
        </w:rPr>
        <w:t>GHG Emissions Inventory</w:t>
      </w:r>
      <w:r w:rsidR="00F218DF">
        <w:rPr>
          <w:rFonts w:ascii="Times New Roman" w:hAnsi="Times New Roman" w:cs="Times New Roman"/>
          <w:i/>
          <w:iCs/>
        </w:rPr>
        <w:t xml:space="preserve"> and Forecast: 1990-2017</w:t>
      </w:r>
      <w:r w:rsidR="00F218DF">
        <w:rPr>
          <w:rFonts w:ascii="Times New Roman" w:hAnsi="Times New Roman" w:cs="Times New Roman"/>
        </w:rPr>
        <w:t xml:space="preserve">. </w:t>
      </w:r>
      <w:hyperlink r:id="rId4" w:history="1">
        <w:r w:rsidR="00E56E85" w:rsidRPr="00E0548B">
          <w:rPr>
            <w:rStyle w:val="Hyperlink"/>
            <w:rFonts w:ascii="Times New Roman" w:hAnsi="Times New Roman" w:cs="Times New Roman"/>
          </w:rPr>
          <w:t>https://dec.vermont.gov/sites/dec/files/aqc/climate-change/documents/_Vermont_Greenhouse_Gas_Emissions_Inventory_Update_1990-2017_Final.pdf</w:t>
        </w:r>
      </w:hyperlink>
    </w:p>
  </w:footnote>
  <w:footnote w:id="6">
    <w:p w14:paraId="0E7F4E33" w14:textId="0943DC62" w:rsidR="00705EEF" w:rsidRPr="00A360AC" w:rsidRDefault="00705EEF" w:rsidP="00A360AC">
      <w:pPr>
        <w:pStyle w:val="FootnoteText"/>
        <w:spacing w:after="0"/>
        <w:rPr>
          <w:rFonts w:ascii="Times New Roman" w:hAnsi="Times New Roman" w:cs="Times New Roman"/>
        </w:rPr>
      </w:pPr>
      <w:r w:rsidRPr="00E354DF">
        <w:rPr>
          <w:rStyle w:val="FootnoteReference"/>
          <w:rFonts w:ascii="Times New Roman" w:hAnsi="Times New Roman" w:cs="Times New Roman"/>
        </w:rPr>
        <w:footnoteRef/>
      </w:r>
      <w:r w:rsidRPr="00E354DF">
        <w:rPr>
          <w:rFonts w:ascii="Times New Roman" w:hAnsi="Times New Roman" w:cs="Times New Roman"/>
        </w:rPr>
        <w:t xml:space="preserve"> Emissions from the agriculture sector include</w:t>
      </w:r>
      <w:r w:rsidR="001F5486">
        <w:rPr>
          <w:rFonts w:ascii="Times New Roman" w:hAnsi="Times New Roman" w:cs="Times New Roman"/>
        </w:rPr>
        <w:t xml:space="preserve"> </w:t>
      </w:r>
      <w:r w:rsidR="4502B594" w:rsidRPr="4502B594">
        <w:rPr>
          <w:rFonts w:ascii="Times New Roman" w:hAnsi="Times New Roman" w:cs="Times New Roman"/>
        </w:rPr>
        <w:t xml:space="preserve">emissions from </w:t>
      </w:r>
      <w:r w:rsidR="1D046A70" w:rsidRPr="1D046A70">
        <w:rPr>
          <w:rFonts w:ascii="Times New Roman" w:hAnsi="Times New Roman" w:cs="Times New Roman"/>
        </w:rPr>
        <w:t>animals (enteric fermentation), stored manure, and agricultural soils—including decomposition of crop residue and application of organic (manure, compost, sewage) and inorganic fertilizer (nitrogen, urea, limestone, dolomite) through various pathways of volatilization, leaching and runoff</w:t>
      </w:r>
      <w:r w:rsidR="27B47865" w:rsidRPr="27B47865">
        <w:rPr>
          <w:rFonts w:ascii="Times New Roman" w:hAnsi="Times New Roman" w:cs="Times New Roman"/>
        </w:rPr>
        <w:t xml:space="preserve"> </w:t>
      </w:r>
      <w:r w:rsidR="1D193BB4" w:rsidRPr="1D193BB4">
        <w:rPr>
          <w:rFonts w:ascii="Times New Roman" w:hAnsi="Times New Roman" w:cs="Times New Roman"/>
        </w:rPr>
        <w:t>(see VT DEC 2021).</w:t>
      </w:r>
    </w:p>
  </w:footnote>
  <w:footnote w:id="7">
    <w:p w14:paraId="0D705EDE" w14:textId="4C7DD9D7" w:rsidR="00F34F14" w:rsidRPr="00A360AC" w:rsidRDefault="00F34F14" w:rsidP="00A360AC">
      <w:pPr>
        <w:pStyle w:val="FootnoteText"/>
        <w:spacing w:after="0"/>
        <w:rPr>
          <w:rFonts w:ascii="Times New Roman" w:hAnsi="Times New Roman" w:cs="Times New Roman"/>
        </w:rPr>
      </w:pPr>
      <w:r w:rsidRPr="00A360AC">
        <w:rPr>
          <w:rStyle w:val="FootnoteReference"/>
          <w:rFonts w:ascii="Times New Roman" w:hAnsi="Times New Roman" w:cs="Times New Roman"/>
        </w:rPr>
        <w:footnoteRef/>
      </w:r>
      <w:r w:rsidRPr="00A360AC">
        <w:rPr>
          <w:rFonts w:ascii="Times New Roman" w:hAnsi="Times New Roman" w:cs="Times New Roman"/>
        </w:rPr>
        <w:t xml:space="preserve"> </w:t>
      </w:r>
      <w:r w:rsidR="00A360AC" w:rsidRPr="00A360AC">
        <w:rPr>
          <w:rFonts w:ascii="Times New Roman" w:hAnsi="Times New Roman" w:cs="Times New Roman"/>
        </w:rPr>
        <w:t>Negative fluxes indicate net sequestration (additional carbon storage). Positive fluxes represent net emissions to the atmosphere.</w:t>
      </w:r>
    </w:p>
  </w:footnote>
  <w:footnote w:id="8">
    <w:p w14:paraId="632EF55E" w14:textId="77777777" w:rsidR="00236282" w:rsidRPr="004E16DF" w:rsidRDefault="00236282" w:rsidP="00236282">
      <w:pPr>
        <w:pStyle w:val="FootnoteText"/>
        <w:spacing w:after="0"/>
        <w:rPr>
          <w:rFonts w:ascii="Times New Roman" w:hAnsi="Times New Roman" w:cs="Times New Roman"/>
        </w:rPr>
      </w:pPr>
      <w:r w:rsidRPr="004E16DF">
        <w:rPr>
          <w:rStyle w:val="FootnoteReference"/>
          <w:rFonts w:ascii="Times New Roman" w:hAnsi="Times New Roman" w:cs="Times New Roman"/>
        </w:rPr>
        <w:footnoteRef/>
      </w:r>
      <w:r w:rsidRPr="004E16DF">
        <w:rPr>
          <w:rFonts w:ascii="Times New Roman" w:hAnsi="Times New Roman" w:cs="Times New Roman"/>
        </w:rPr>
        <w:t xml:space="preserve"> Vermont Department of Environmental Conservation</w:t>
      </w:r>
      <w:r w:rsidRPr="004E16DF">
        <w:rPr>
          <w:rFonts w:ascii="Times New Roman" w:hAnsi="Times New Roman" w:cs="Times New Roman"/>
          <w:i/>
          <w:iCs/>
        </w:rPr>
        <w:t xml:space="preserve">, </w:t>
      </w:r>
      <w:r w:rsidRPr="004E16DF">
        <w:rPr>
          <w:rFonts w:ascii="Times New Roman" w:hAnsi="Times New Roman" w:cs="Times New Roman"/>
        </w:rPr>
        <w:t xml:space="preserve">Air Quality and Climate Division. 2021. </w:t>
      </w:r>
      <w:r w:rsidRPr="004E16DF">
        <w:rPr>
          <w:rFonts w:ascii="Times New Roman" w:hAnsi="Times New Roman" w:cs="Times New Roman"/>
          <w:i/>
          <w:iCs/>
        </w:rPr>
        <w:t xml:space="preserve">Vermont </w:t>
      </w:r>
      <w:r w:rsidRPr="004E16DF">
        <w:rPr>
          <w:rStyle w:val="CommentReference"/>
          <w:rFonts w:ascii="Times New Roman" w:hAnsi="Times New Roman" w:cs="Times New Roman"/>
          <w:i/>
          <w:iCs/>
        </w:rPr>
        <w:annotationRef/>
      </w:r>
      <w:r w:rsidRPr="004E16DF">
        <w:rPr>
          <w:rStyle w:val="CommentReference"/>
          <w:rFonts w:ascii="Times New Roman" w:hAnsi="Times New Roman" w:cs="Times New Roman"/>
          <w:i/>
          <w:iCs/>
        </w:rPr>
        <w:annotationRef/>
      </w:r>
      <w:r w:rsidRPr="004E16DF">
        <w:rPr>
          <w:rFonts w:ascii="Times New Roman" w:hAnsi="Times New Roman" w:cs="Times New Roman"/>
          <w:i/>
          <w:iCs/>
        </w:rPr>
        <w:t>GHG Emissions Inventory and Forecast: 1990-2017</w:t>
      </w:r>
      <w:r w:rsidRPr="004E16DF">
        <w:rPr>
          <w:rFonts w:ascii="Times New Roman" w:hAnsi="Times New Roman" w:cs="Times New Roman"/>
        </w:rPr>
        <w:t xml:space="preserve">. </w:t>
      </w:r>
      <w:hyperlink r:id="rId5" w:history="1">
        <w:r w:rsidRPr="004E16DF">
          <w:rPr>
            <w:rStyle w:val="Hyperlink"/>
            <w:rFonts w:ascii="Times New Roman" w:hAnsi="Times New Roman" w:cs="Times New Roman"/>
          </w:rPr>
          <w:t>https://dec.vermont.gov/sites/dec/files/aqc/climate-change/documents/_Vermont_Greenhouse_Gas_Emissions_Inventory_Update_1990-2017_Final.pdf</w:t>
        </w:r>
      </w:hyperlink>
    </w:p>
  </w:footnote>
  <w:footnote w:id="9">
    <w:p w14:paraId="1B880179" w14:textId="77777777" w:rsidR="00236282" w:rsidRPr="004E16DF" w:rsidRDefault="00236282" w:rsidP="00236282">
      <w:pPr>
        <w:pStyle w:val="FootnoteText"/>
        <w:spacing w:after="0"/>
        <w:rPr>
          <w:rFonts w:ascii="Times New Roman" w:hAnsi="Times New Roman" w:cs="Times New Roman"/>
        </w:rPr>
      </w:pPr>
      <w:r w:rsidRPr="004E16DF">
        <w:rPr>
          <w:rStyle w:val="FootnoteReference"/>
          <w:rFonts w:ascii="Times New Roman" w:hAnsi="Times New Roman" w:cs="Times New Roman"/>
        </w:rPr>
        <w:footnoteRef/>
      </w:r>
      <w:r w:rsidRPr="004E16DF">
        <w:rPr>
          <w:rFonts w:ascii="Times New Roman" w:hAnsi="Times New Roman" w:cs="Times New Roman"/>
        </w:rPr>
        <w:t xml:space="preserve"> Table was modified from Table ES in Galford G, Darby H, Hall F, and Kosiba AM. 2021. </w:t>
      </w:r>
      <w:r w:rsidRPr="004E16DF">
        <w:rPr>
          <w:rFonts w:ascii="Times New Roman" w:hAnsi="Times New Roman" w:cs="Times New Roman"/>
          <w:i/>
          <w:iCs/>
        </w:rPr>
        <w:t>A Carbon Budget for Vermont</w:t>
      </w:r>
      <w:r w:rsidRPr="004E16DF">
        <w:rPr>
          <w:rFonts w:ascii="Times New Roman" w:hAnsi="Times New Roman" w:cs="Times New Roman"/>
        </w:rPr>
        <w:t>.</w:t>
      </w:r>
    </w:p>
  </w:footnote>
  <w:footnote w:id="10">
    <w:p w14:paraId="70044590" w14:textId="1D32441F" w:rsidR="000B68BF" w:rsidRPr="004E16DF" w:rsidRDefault="000B68BF" w:rsidP="005526EF">
      <w:pPr>
        <w:pStyle w:val="FootnoteText"/>
        <w:spacing w:after="0"/>
        <w:rPr>
          <w:rFonts w:ascii="Times New Roman" w:hAnsi="Times New Roman" w:cs="Times New Roman"/>
        </w:rPr>
      </w:pPr>
      <w:r w:rsidRPr="004E16DF">
        <w:rPr>
          <w:rStyle w:val="FootnoteReference"/>
          <w:rFonts w:ascii="Times New Roman" w:hAnsi="Times New Roman" w:cs="Times New Roman"/>
        </w:rPr>
        <w:footnoteRef/>
      </w:r>
      <w:r w:rsidRPr="004E16DF">
        <w:rPr>
          <w:rFonts w:ascii="Times New Roman" w:hAnsi="Times New Roman" w:cs="Times New Roman"/>
        </w:rPr>
        <w:t xml:space="preserve"> </w:t>
      </w:r>
      <w:r w:rsidRPr="004E16DF">
        <w:rPr>
          <w:rStyle w:val="FootnoteTextChar"/>
          <w:rFonts w:ascii="Times New Roman" w:hAnsi="Times New Roman" w:cs="Times New Roman"/>
        </w:rPr>
        <w:t>Negative fluxes indicate net sequestration. Positive fluxes represent net emissions to the atmosphere</w:t>
      </w:r>
      <w:r w:rsidRPr="004E16DF">
        <w:rPr>
          <w:rFonts w:ascii="Times New Roman" w:hAnsi="Times New Roman" w:cs="Times New Roman"/>
        </w:rPr>
        <w:t>.</w:t>
      </w:r>
    </w:p>
  </w:footnote>
  <w:footnote w:id="11">
    <w:p w14:paraId="5AA8A259" w14:textId="77777777" w:rsidR="006A45D0" w:rsidRPr="004E16DF" w:rsidRDefault="006A45D0" w:rsidP="00265EB5">
      <w:pPr>
        <w:pStyle w:val="FootnoteText"/>
        <w:spacing w:after="0"/>
        <w:rPr>
          <w:rFonts w:ascii="Times New Roman" w:hAnsi="Times New Roman" w:cs="Times New Roman"/>
        </w:rPr>
      </w:pPr>
      <w:r w:rsidRPr="004E16DF">
        <w:rPr>
          <w:rStyle w:val="FootnoteReference"/>
          <w:rFonts w:ascii="Times New Roman" w:hAnsi="Times New Roman" w:cs="Times New Roman"/>
        </w:rPr>
        <w:footnoteRef/>
      </w:r>
      <w:r w:rsidRPr="004E16DF">
        <w:rPr>
          <w:rFonts w:ascii="Times New Roman" w:hAnsi="Times New Roman" w:cs="Times New Roman"/>
        </w:rPr>
        <w:t xml:space="preserve"> </w:t>
      </w:r>
      <w:r>
        <w:rPr>
          <w:rFonts w:ascii="Times New Roman" w:hAnsi="Times New Roman" w:cs="Times New Roman"/>
        </w:rPr>
        <w:t>D</w:t>
      </w:r>
      <w:r w:rsidRPr="004E16DF">
        <w:rPr>
          <w:rFonts w:ascii="Times New Roman" w:hAnsi="Times New Roman" w:cs="Times New Roman"/>
        </w:rPr>
        <w:t>ata for forests is for the year 2018.</w:t>
      </w:r>
    </w:p>
  </w:footnote>
  <w:footnote w:id="12">
    <w:p w14:paraId="2E21C747" w14:textId="2AEACCE0" w:rsidR="008D08A9" w:rsidRDefault="008D08A9" w:rsidP="005526EF">
      <w:pPr>
        <w:pStyle w:val="FootnoteText"/>
        <w:spacing w:after="0"/>
      </w:pPr>
      <w:r w:rsidRPr="004E16DF">
        <w:rPr>
          <w:rStyle w:val="FootnoteReference"/>
          <w:rFonts w:ascii="Times New Roman" w:hAnsi="Times New Roman" w:cs="Times New Roman"/>
        </w:rPr>
        <w:footnoteRef/>
      </w:r>
      <w:r w:rsidRPr="004E16DF">
        <w:rPr>
          <w:rFonts w:ascii="Times New Roman" w:hAnsi="Times New Roman" w:cs="Times New Roman"/>
        </w:rPr>
        <w:t xml:space="preserve"> </w:t>
      </w:r>
      <w:r>
        <w:rPr>
          <w:rFonts w:ascii="Times New Roman" w:hAnsi="Times New Roman" w:cs="Times New Roman"/>
        </w:rPr>
        <w:t>T</w:t>
      </w:r>
      <w:r w:rsidRPr="004E16DF">
        <w:rPr>
          <w:rFonts w:ascii="Times New Roman" w:hAnsi="Times New Roman" w:cs="Times New Roman"/>
        </w:rPr>
        <w:t>he net flux for the AFOLU sector was incorrectly presented as 1,978 MMT CO</w:t>
      </w:r>
      <w:r w:rsidRPr="004E16DF">
        <w:rPr>
          <w:rFonts w:ascii="Times New Roman" w:hAnsi="Times New Roman" w:cs="Times New Roman"/>
          <w:vertAlign w:val="subscript"/>
        </w:rPr>
        <w:t>2</w:t>
      </w:r>
      <w:r w:rsidRPr="004E16DF">
        <w:rPr>
          <w:rFonts w:ascii="Times New Roman" w:hAnsi="Times New Roman" w:cs="Times New Roman"/>
        </w:rPr>
        <w:t xml:space="preserve">e in Table ES of </w:t>
      </w:r>
      <w:r>
        <w:rPr>
          <w:rFonts w:ascii="Times New Roman" w:hAnsi="Times New Roman" w:cs="Times New Roman"/>
          <w:i/>
          <w:iCs/>
        </w:rPr>
        <w:t xml:space="preserve">A Carbon Budget for Vermont </w:t>
      </w:r>
      <w:r w:rsidRPr="002F216A">
        <w:rPr>
          <w:rFonts w:ascii="Times New Roman" w:hAnsi="Times New Roman" w:cs="Times New Roman"/>
        </w:rPr>
        <w:t>(Galford et al. 2021).</w:t>
      </w:r>
      <w:r w:rsidRPr="004E16DF">
        <w:rPr>
          <w:rFonts w:ascii="Times New Roman" w:hAnsi="Times New Roman" w:cs="Times New Roman"/>
          <w:i/>
          <w:iCs/>
        </w:rPr>
        <w:t xml:space="preserve"> </w:t>
      </w:r>
    </w:p>
  </w:footnote>
  <w:footnote w:id="13">
    <w:p w14:paraId="66D70064" w14:textId="2AEACCE0" w:rsidR="008D08A9" w:rsidRDefault="008D08A9" w:rsidP="005526EF">
      <w:pPr>
        <w:pStyle w:val="FootnoteText"/>
        <w:spacing w:after="0"/>
      </w:pPr>
      <w:r>
        <w:rPr>
          <w:rStyle w:val="FootnoteReference"/>
        </w:rPr>
        <w:footnoteRef/>
      </w:r>
      <w:r>
        <w:t xml:space="preserve"> </w:t>
      </w:r>
      <w:r w:rsidRPr="0084520A">
        <w:rPr>
          <w:rFonts w:ascii="Times New Roman" w:hAnsi="Times New Roman" w:cs="Times New Roman"/>
        </w:rPr>
        <w:t xml:space="preserve">Vermont Department of Environmental Conservation, Air Quality and Climate Division. 2021. Vermont GHG Emissions Inventory and Forecast: 1990-2017. </w:t>
      </w:r>
      <w:hyperlink r:id="rId6" w:history="1">
        <w:r w:rsidRPr="00E0548B">
          <w:rPr>
            <w:rStyle w:val="Hyperlink"/>
            <w:rFonts w:ascii="Times New Roman" w:hAnsi="Times New Roman" w:cs="Times New Roman"/>
          </w:rPr>
          <w:t>https://dec.vermont.gov/sites/dec/files/aqc/climate-change/documents/_Vermont_Greenhouse_Gas_Emissions_Inventory_Update_1990-2017_Final.pdf</w:t>
        </w:r>
      </w:hyperlink>
    </w:p>
  </w:footnote>
  <w:footnote w:id="14">
    <w:p w14:paraId="5F77CEF1" w14:textId="35653F13" w:rsidR="008D08A9" w:rsidRPr="0084520A" w:rsidRDefault="008D08A9" w:rsidP="005526EF">
      <w:pPr>
        <w:pStyle w:val="FootnoteText"/>
        <w:spacing w:after="0"/>
        <w:rPr>
          <w:rFonts w:ascii="Times New Roman" w:hAnsi="Times New Roman" w:cs="Times New Roman"/>
        </w:rPr>
      </w:pPr>
      <w:r w:rsidRPr="0084520A">
        <w:rPr>
          <w:rStyle w:val="FootnoteReference"/>
          <w:rFonts w:ascii="Times New Roman" w:hAnsi="Times New Roman" w:cs="Times New Roman"/>
        </w:rPr>
        <w:footnoteRef/>
      </w:r>
      <w:r w:rsidRPr="0084520A">
        <w:rPr>
          <w:rFonts w:ascii="Times New Roman" w:hAnsi="Times New Roman" w:cs="Times New Roman"/>
        </w:rPr>
        <w:t xml:space="preserve"> Agriculture sector emissions included in the </w:t>
      </w:r>
      <w:r w:rsidRPr="0084520A">
        <w:rPr>
          <w:rFonts w:ascii="Times New Roman" w:hAnsi="Times New Roman" w:cs="Times New Roman"/>
          <w:i/>
          <w:iCs/>
        </w:rPr>
        <w:t>GHG Emissions Inventory</w:t>
      </w:r>
      <w:r w:rsidRPr="0084520A">
        <w:rPr>
          <w:rFonts w:ascii="Times New Roman" w:hAnsi="Times New Roman" w:cs="Times New Roman"/>
        </w:rPr>
        <w:t xml:space="preserve"> were subtracted from the gross emissions total to avoid double counting with the AFOLU sector. This differs from the GHG emissions values used in </w:t>
      </w:r>
      <w:r w:rsidRPr="0084520A">
        <w:rPr>
          <w:rFonts w:ascii="Times New Roman" w:hAnsi="Times New Roman" w:cs="Times New Roman"/>
          <w:i/>
          <w:iCs/>
        </w:rPr>
        <w:t>A Carbon Budget for Vermont</w:t>
      </w:r>
      <w:r>
        <w:rPr>
          <w:rFonts w:ascii="Times New Roman" w:hAnsi="Times New Roman" w:cs="Times New Roman"/>
        </w:rPr>
        <w:t xml:space="preserve">, which </w:t>
      </w:r>
      <w:r w:rsidRPr="0084520A">
        <w:rPr>
          <w:rFonts w:ascii="Times New Roman" w:hAnsi="Times New Roman" w:cs="Times New Roman"/>
        </w:rPr>
        <w:t>include</w:t>
      </w:r>
      <w:r>
        <w:rPr>
          <w:rFonts w:ascii="Times New Roman" w:hAnsi="Times New Roman" w:cs="Times New Roman"/>
        </w:rPr>
        <w:t>d</w:t>
      </w:r>
      <w:r w:rsidRPr="0084520A">
        <w:rPr>
          <w:rFonts w:ascii="Times New Roman" w:hAnsi="Times New Roman" w:cs="Times New Roman"/>
        </w:rPr>
        <w:t xml:space="preserve"> the agriculture sector</w:t>
      </w:r>
      <w:r>
        <w:rPr>
          <w:rFonts w:ascii="Times New Roman" w:hAnsi="Times New Roman" w:cs="Times New Roman"/>
        </w:rPr>
        <w:t xml:space="preserve"> emissions</w:t>
      </w:r>
      <w:r w:rsidRPr="0084520A">
        <w:rPr>
          <w:rFonts w:ascii="Times New Roman" w:hAnsi="Times New Roman" w:cs="Times New Roman"/>
        </w:rPr>
        <w:t>.</w:t>
      </w:r>
      <w:r>
        <w:rPr>
          <w:rFonts w:ascii="Times New Roman" w:hAnsi="Times New Roman" w:cs="Times New Roman"/>
        </w:rPr>
        <w:t xml:space="preserve"> </w:t>
      </w:r>
    </w:p>
  </w:footnote>
  <w:footnote w:id="15">
    <w:p w14:paraId="12B507F6" w14:textId="4C82CF10" w:rsidR="008D08A9" w:rsidRDefault="008D08A9" w:rsidP="002F216A">
      <w:pPr>
        <w:pStyle w:val="FootnoteText"/>
        <w:spacing w:after="0"/>
      </w:pPr>
    </w:p>
  </w:footnote>
  <w:footnote w:id="16">
    <w:p w14:paraId="3C42836E" w14:textId="1034C0C2" w:rsidR="004F686A" w:rsidRPr="004F686A" w:rsidRDefault="004F686A">
      <w:pPr>
        <w:pStyle w:val="FootnoteText"/>
        <w:rPr>
          <w:rFonts w:ascii="Times New Roman" w:hAnsi="Times New Roman" w:cs="Times New Roman"/>
        </w:rPr>
      </w:pPr>
      <w:r w:rsidRPr="004F686A">
        <w:rPr>
          <w:rStyle w:val="FootnoteReference"/>
          <w:rFonts w:ascii="Times New Roman" w:hAnsi="Times New Roman" w:cs="Times New Roman"/>
        </w:rPr>
        <w:footnoteRef/>
      </w:r>
      <w:r w:rsidRPr="004F686A">
        <w:rPr>
          <w:rFonts w:ascii="Times New Roman" w:hAnsi="Times New Roman" w:cs="Times New Roman"/>
        </w:rPr>
        <w:t xml:space="preserve"> </w:t>
      </w:r>
      <w:r>
        <w:rPr>
          <w:rFonts w:ascii="Times New Roman" w:hAnsi="Times New Roman" w:cs="Times New Roman"/>
        </w:rPr>
        <w:t xml:space="preserve">Bai et al. 2020. </w:t>
      </w:r>
      <w:r w:rsidRPr="004F686A">
        <w:rPr>
          <w:rFonts w:ascii="Times New Roman" w:hAnsi="Times New Roman" w:cs="Times New Roman"/>
          <w:i/>
          <w:iCs/>
        </w:rPr>
        <w:t>State of</w:t>
      </w:r>
      <w:r w:rsidRPr="004F686A">
        <w:rPr>
          <w:rFonts w:ascii="Times New Roman" w:hAnsi="Times New Roman" w:cs="Times New Roman"/>
        </w:rPr>
        <w:t xml:space="preserve"> </w:t>
      </w:r>
      <w:r w:rsidRPr="004F686A">
        <w:rPr>
          <w:rFonts w:ascii="Times New Roman" w:hAnsi="Times New Roman" w:cs="Times New Roman"/>
          <w:i/>
          <w:iCs/>
        </w:rPr>
        <w:t>Maine Carbon Budget</w:t>
      </w:r>
      <w:r w:rsidRPr="004F686A">
        <w:rPr>
          <w:rFonts w:ascii="Times New Roman" w:hAnsi="Times New Roman" w:cs="Times New Roman"/>
        </w:rPr>
        <w:t xml:space="preserve">. </w:t>
      </w:r>
      <w:hyperlink r:id="rId7" w:history="1">
        <w:r w:rsidRPr="004F686A">
          <w:rPr>
            <w:rStyle w:val="Hyperlink"/>
            <w:rFonts w:ascii="Times New Roman" w:hAnsi="Times New Roman" w:cs="Times New Roman"/>
          </w:rPr>
          <w:t>https://crsf.umaine.edu/forest-climate-change-initiative/carbon-budget/</w:t>
        </w:r>
      </w:hyperlink>
      <w:r w:rsidRPr="004F686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CBE"/>
    <w:multiLevelType w:val="hybridMultilevel"/>
    <w:tmpl w:val="0F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D624A"/>
    <w:multiLevelType w:val="hybridMultilevel"/>
    <w:tmpl w:val="FB4A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10105"/>
    <w:multiLevelType w:val="hybridMultilevel"/>
    <w:tmpl w:val="79E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B246A"/>
    <w:multiLevelType w:val="hybridMultilevel"/>
    <w:tmpl w:val="76C2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siba, Alexandra">
    <w15:presenceInfo w15:providerId="AD" w15:userId="S::Alexandra.Kosiba@vermont.gov::7f50cf5a-f1eb-4cdb-bb5f-5e9746bec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NjSzNDAztzCxMDZQ0lEKTi0uzszPAykwrwUAEueQrSwAAAA="/>
  </w:docVars>
  <w:rsids>
    <w:rsidRoot w:val="0005308D"/>
    <w:rsid w:val="00001B45"/>
    <w:rsid w:val="00007991"/>
    <w:rsid w:val="00011F18"/>
    <w:rsid w:val="00013A93"/>
    <w:rsid w:val="00014100"/>
    <w:rsid w:val="0002024E"/>
    <w:rsid w:val="0002569F"/>
    <w:rsid w:val="00025D0C"/>
    <w:rsid w:val="00030543"/>
    <w:rsid w:val="00033823"/>
    <w:rsid w:val="00034A07"/>
    <w:rsid w:val="000369E6"/>
    <w:rsid w:val="0004250E"/>
    <w:rsid w:val="00046D04"/>
    <w:rsid w:val="0005308D"/>
    <w:rsid w:val="00053C6B"/>
    <w:rsid w:val="000559D6"/>
    <w:rsid w:val="00056B99"/>
    <w:rsid w:val="0005711B"/>
    <w:rsid w:val="00061392"/>
    <w:rsid w:val="00065CB9"/>
    <w:rsid w:val="000661D3"/>
    <w:rsid w:val="000671C3"/>
    <w:rsid w:val="00067C35"/>
    <w:rsid w:val="00070487"/>
    <w:rsid w:val="0007127E"/>
    <w:rsid w:val="0007417D"/>
    <w:rsid w:val="000764D0"/>
    <w:rsid w:val="000779E4"/>
    <w:rsid w:val="00081CA1"/>
    <w:rsid w:val="00084040"/>
    <w:rsid w:val="00084C75"/>
    <w:rsid w:val="0008689A"/>
    <w:rsid w:val="00087406"/>
    <w:rsid w:val="0009391E"/>
    <w:rsid w:val="000956D6"/>
    <w:rsid w:val="000969F1"/>
    <w:rsid w:val="000A0282"/>
    <w:rsid w:val="000A0822"/>
    <w:rsid w:val="000A1D4A"/>
    <w:rsid w:val="000A489A"/>
    <w:rsid w:val="000A4C4D"/>
    <w:rsid w:val="000A63BA"/>
    <w:rsid w:val="000A676C"/>
    <w:rsid w:val="000A78F5"/>
    <w:rsid w:val="000B0364"/>
    <w:rsid w:val="000B4340"/>
    <w:rsid w:val="000B5D6D"/>
    <w:rsid w:val="000B6552"/>
    <w:rsid w:val="000B68BF"/>
    <w:rsid w:val="000B68F7"/>
    <w:rsid w:val="000E00EC"/>
    <w:rsid w:val="000E07A6"/>
    <w:rsid w:val="000E0DAC"/>
    <w:rsid w:val="000F068B"/>
    <w:rsid w:val="000F2925"/>
    <w:rsid w:val="000F2CA5"/>
    <w:rsid w:val="001063C7"/>
    <w:rsid w:val="00110AAC"/>
    <w:rsid w:val="00110DA3"/>
    <w:rsid w:val="00115468"/>
    <w:rsid w:val="001175CB"/>
    <w:rsid w:val="00122884"/>
    <w:rsid w:val="00124D4B"/>
    <w:rsid w:val="00136CED"/>
    <w:rsid w:val="001401CC"/>
    <w:rsid w:val="00141DF4"/>
    <w:rsid w:val="001426D6"/>
    <w:rsid w:val="00143B3D"/>
    <w:rsid w:val="0014659C"/>
    <w:rsid w:val="00152360"/>
    <w:rsid w:val="00154534"/>
    <w:rsid w:val="00156A9A"/>
    <w:rsid w:val="001627C5"/>
    <w:rsid w:val="00162D6B"/>
    <w:rsid w:val="001644DE"/>
    <w:rsid w:val="00164E97"/>
    <w:rsid w:val="001651AC"/>
    <w:rsid w:val="0016664A"/>
    <w:rsid w:val="00167FBE"/>
    <w:rsid w:val="00170C7A"/>
    <w:rsid w:val="0017595D"/>
    <w:rsid w:val="0018210B"/>
    <w:rsid w:val="00182DF1"/>
    <w:rsid w:val="00185F05"/>
    <w:rsid w:val="00192924"/>
    <w:rsid w:val="00196899"/>
    <w:rsid w:val="0019793E"/>
    <w:rsid w:val="001A0D97"/>
    <w:rsid w:val="001A5246"/>
    <w:rsid w:val="001A5C91"/>
    <w:rsid w:val="001A744D"/>
    <w:rsid w:val="001B72FA"/>
    <w:rsid w:val="001C0D86"/>
    <w:rsid w:val="001C3B66"/>
    <w:rsid w:val="001C3F49"/>
    <w:rsid w:val="001C6FFB"/>
    <w:rsid w:val="001C7911"/>
    <w:rsid w:val="001D6E39"/>
    <w:rsid w:val="001D7292"/>
    <w:rsid w:val="001E1958"/>
    <w:rsid w:val="001E1E04"/>
    <w:rsid w:val="001E50A4"/>
    <w:rsid w:val="001E7773"/>
    <w:rsid w:val="001F3941"/>
    <w:rsid w:val="001F4CB6"/>
    <w:rsid w:val="001F5486"/>
    <w:rsid w:val="001F728D"/>
    <w:rsid w:val="00206003"/>
    <w:rsid w:val="002063F2"/>
    <w:rsid w:val="002153C1"/>
    <w:rsid w:val="00220B25"/>
    <w:rsid w:val="00220B95"/>
    <w:rsid w:val="00227659"/>
    <w:rsid w:val="002332B9"/>
    <w:rsid w:val="0023343C"/>
    <w:rsid w:val="00236282"/>
    <w:rsid w:val="00237033"/>
    <w:rsid w:val="00242487"/>
    <w:rsid w:val="002442F9"/>
    <w:rsid w:val="00250CD8"/>
    <w:rsid w:val="00252A12"/>
    <w:rsid w:val="00253836"/>
    <w:rsid w:val="0025500B"/>
    <w:rsid w:val="0025648A"/>
    <w:rsid w:val="0025BA73"/>
    <w:rsid w:val="0026151A"/>
    <w:rsid w:val="0026160F"/>
    <w:rsid w:val="00263240"/>
    <w:rsid w:val="00263462"/>
    <w:rsid w:val="00265EB5"/>
    <w:rsid w:val="00271236"/>
    <w:rsid w:val="0027131D"/>
    <w:rsid w:val="00273E9A"/>
    <w:rsid w:val="002753CB"/>
    <w:rsid w:val="00275547"/>
    <w:rsid w:val="00286DF5"/>
    <w:rsid w:val="00287D0E"/>
    <w:rsid w:val="0029644B"/>
    <w:rsid w:val="00297841"/>
    <w:rsid w:val="002A0114"/>
    <w:rsid w:val="002A7724"/>
    <w:rsid w:val="002B0AB4"/>
    <w:rsid w:val="002B1AC5"/>
    <w:rsid w:val="002B1F78"/>
    <w:rsid w:val="002B2C47"/>
    <w:rsid w:val="002B3AE6"/>
    <w:rsid w:val="002B5130"/>
    <w:rsid w:val="002B5539"/>
    <w:rsid w:val="002B725A"/>
    <w:rsid w:val="002C06CB"/>
    <w:rsid w:val="002C0B13"/>
    <w:rsid w:val="002C3DCB"/>
    <w:rsid w:val="002C4F31"/>
    <w:rsid w:val="002C6938"/>
    <w:rsid w:val="002D04DB"/>
    <w:rsid w:val="002D5A67"/>
    <w:rsid w:val="002D6A83"/>
    <w:rsid w:val="002E37D9"/>
    <w:rsid w:val="002F216A"/>
    <w:rsid w:val="002F5744"/>
    <w:rsid w:val="00300DD4"/>
    <w:rsid w:val="00306B11"/>
    <w:rsid w:val="003102E2"/>
    <w:rsid w:val="003224E7"/>
    <w:rsid w:val="00330860"/>
    <w:rsid w:val="003335E8"/>
    <w:rsid w:val="003344EF"/>
    <w:rsid w:val="00336C7F"/>
    <w:rsid w:val="00344016"/>
    <w:rsid w:val="00351018"/>
    <w:rsid w:val="00353AFB"/>
    <w:rsid w:val="00355679"/>
    <w:rsid w:val="00355A65"/>
    <w:rsid w:val="00357CA0"/>
    <w:rsid w:val="0036224F"/>
    <w:rsid w:val="00371C6B"/>
    <w:rsid w:val="00383CA1"/>
    <w:rsid w:val="00386379"/>
    <w:rsid w:val="00390810"/>
    <w:rsid w:val="0039244C"/>
    <w:rsid w:val="003956D4"/>
    <w:rsid w:val="003975E9"/>
    <w:rsid w:val="003A6E1D"/>
    <w:rsid w:val="003A7D96"/>
    <w:rsid w:val="003B0311"/>
    <w:rsid w:val="003B2346"/>
    <w:rsid w:val="003B6E54"/>
    <w:rsid w:val="003C3C70"/>
    <w:rsid w:val="003C79B9"/>
    <w:rsid w:val="003C7AF9"/>
    <w:rsid w:val="003D41AF"/>
    <w:rsid w:val="003D46DB"/>
    <w:rsid w:val="003D51F7"/>
    <w:rsid w:val="003D79CB"/>
    <w:rsid w:val="003E4C44"/>
    <w:rsid w:val="003F0401"/>
    <w:rsid w:val="003F4746"/>
    <w:rsid w:val="004020B7"/>
    <w:rsid w:val="00403BB0"/>
    <w:rsid w:val="00404D62"/>
    <w:rsid w:val="00406E80"/>
    <w:rsid w:val="004153AC"/>
    <w:rsid w:val="00417196"/>
    <w:rsid w:val="00420E6C"/>
    <w:rsid w:val="00423856"/>
    <w:rsid w:val="004264CC"/>
    <w:rsid w:val="004269DD"/>
    <w:rsid w:val="00432BAA"/>
    <w:rsid w:val="00433532"/>
    <w:rsid w:val="00437805"/>
    <w:rsid w:val="00446155"/>
    <w:rsid w:val="00450200"/>
    <w:rsid w:val="00452E08"/>
    <w:rsid w:val="00453246"/>
    <w:rsid w:val="00453D8F"/>
    <w:rsid w:val="004574E3"/>
    <w:rsid w:val="00462818"/>
    <w:rsid w:val="004629FC"/>
    <w:rsid w:val="0046604C"/>
    <w:rsid w:val="0047033A"/>
    <w:rsid w:val="00471B2C"/>
    <w:rsid w:val="0047223D"/>
    <w:rsid w:val="0047384D"/>
    <w:rsid w:val="0047627A"/>
    <w:rsid w:val="00481FB8"/>
    <w:rsid w:val="00484A58"/>
    <w:rsid w:val="004861CD"/>
    <w:rsid w:val="00490EFA"/>
    <w:rsid w:val="00491E03"/>
    <w:rsid w:val="0049344A"/>
    <w:rsid w:val="00494E44"/>
    <w:rsid w:val="00495409"/>
    <w:rsid w:val="004A1D3D"/>
    <w:rsid w:val="004A42EB"/>
    <w:rsid w:val="004A5D4C"/>
    <w:rsid w:val="004A6AEC"/>
    <w:rsid w:val="004A7086"/>
    <w:rsid w:val="004A72B7"/>
    <w:rsid w:val="004A75F6"/>
    <w:rsid w:val="004B0BFA"/>
    <w:rsid w:val="004B12EC"/>
    <w:rsid w:val="004B4F15"/>
    <w:rsid w:val="004B547A"/>
    <w:rsid w:val="004C1A21"/>
    <w:rsid w:val="004C1C8F"/>
    <w:rsid w:val="004C4C87"/>
    <w:rsid w:val="004C5019"/>
    <w:rsid w:val="004D0FAD"/>
    <w:rsid w:val="004D1866"/>
    <w:rsid w:val="004D4B62"/>
    <w:rsid w:val="004E16DF"/>
    <w:rsid w:val="004E1B19"/>
    <w:rsid w:val="004E26BE"/>
    <w:rsid w:val="004E548A"/>
    <w:rsid w:val="004E736C"/>
    <w:rsid w:val="004F3004"/>
    <w:rsid w:val="004F3163"/>
    <w:rsid w:val="004F32B1"/>
    <w:rsid w:val="004F42A1"/>
    <w:rsid w:val="004F686A"/>
    <w:rsid w:val="00500618"/>
    <w:rsid w:val="00503229"/>
    <w:rsid w:val="0050497E"/>
    <w:rsid w:val="00507BA2"/>
    <w:rsid w:val="00510494"/>
    <w:rsid w:val="0051378F"/>
    <w:rsid w:val="005162C5"/>
    <w:rsid w:val="00521CDF"/>
    <w:rsid w:val="00535651"/>
    <w:rsid w:val="005377BC"/>
    <w:rsid w:val="00546327"/>
    <w:rsid w:val="00546560"/>
    <w:rsid w:val="00546BD9"/>
    <w:rsid w:val="005472A9"/>
    <w:rsid w:val="00550BE7"/>
    <w:rsid w:val="005515D0"/>
    <w:rsid w:val="0055195B"/>
    <w:rsid w:val="005526EF"/>
    <w:rsid w:val="00552983"/>
    <w:rsid w:val="0055428C"/>
    <w:rsid w:val="0056087A"/>
    <w:rsid w:val="00560E34"/>
    <w:rsid w:val="00564596"/>
    <w:rsid w:val="00565900"/>
    <w:rsid w:val="00567F8E"/>
    <w:rsid w:val="00573B2A"/>
    <w:rsid w:val="00573F4F"/>
    <w:rsid w:val="00577B14"/>
    <w:rsid w:val="00581537"/>
    <w:rsid w:val="0058208E"/>
    <w:rsid w:val="00587910"/>
    <w:rsid w:val="00590BCA"/>
    <w:rsid w:val="00594452"/>
    <w:rsid w:val="00595361"/>
    <w:rsid w:val="00596BD1"/>
    <w:rsid w:val="005A5B77"/>
    <w:rsid w:val="005A5E42"/>
    <w:rsid w:val="005B0D5A"/>
    <w:rsid w:val="005B2D02"/>
    <w:rsid w:val="005B4015"/>
    <w:rsid w:val="005C447C"/>
    <w:rsid w:val="005C5F58"/>
    <w:rsid w:val="005C650A"/>
    <w:rsid w:val="005C7E9D"/>
    <w:rsid w:val="005D4BCF"/>
    <w:rsid w:val="005E182F"/>
    <w:rsid w:val="005E1BF3"/>
    <w:rsid w:val="005E4388"/>
    <w:rsid w:val="005E54AD"/>
    <w:rsid w:val="005F19C5"/>
    <w:rsid w:val="005F49C7"/>
    <w:rsid w:val="005F56EC"/>
    <w:rsid w:val="005F7D3A"/>
    <w:rsid w:val="00604541"/>
    <w:rsid w:val="00604D09"/>
    <w:rsid w:val="00604F74"/>
    <w:rsid w:val="00607601"/>
    <w:rsid w:val="00611AC2"/>
    <w:rsid w:val="00613960"/>
    <w:rsid w:val="00613E82"/>
    <w:rsid w:val="00620CCF"/>
    <w:rsid w:val="006236AE"/>
    <w:rsid w:val="006256B4"/>
    <w:rsid w:val="00632E15"/>
    <w:rsid w:val="006347A5"/>
    <w:rsid w:val="00641CBA"/>
    <w:rsid w:val="00641DF5"/>
    <w:rsid w:val="00643817"/>
    <w:rsid w:val="00646CFA"/>
    <w:rsid w:val="00651C2B"/>
    <w:rsid w:val="00653763"/>
    <w:rsid w:val="00655B29"/>
    <w:rsid w:val="00661DD4"/>
    <w:rsid w:val="00661F16"/>
    <w:rsid w:val="00664ED6"/>
    <w:rsid w:val="00671D2A"/>
    <w:rsid w:val="0067539F"/>
    <w:rsid w:val="006779EE"/>
    <w:rsid w:val="006843CC"/>
    <w:rsid w:val="006910F6"/>
    <w:rsid w:val="006968F7"/>
    <w:rsid w:val="006A45D0"/>
    <w:rsid w:val="006A535A"/>
    <w:rsid w:val="006A629A"/>
    <w:rsid w:val="006B3948"/>
    <w:rsid w:val="006B4256"/>
    <w:rsid w:val="006B54DE"/>
    <w:rsid w:val="006B6846"/>
    <w:rsid w:val="006C0D1D"/>
    <w:rsid w:val="006C1694"/>
    <w:rsid w:val="006D032C"/>
    <w:rsid w:val="006D09B3"/>
    <w:rsid w:val="006D2606"/>
    <w:rsid w:val="006D28FB"/>
    <w:rsid w:val="006D4B21"/>
    <w:rsid w:val="006D5AFC"/>
    <w:rsid w:val="006D665A"/>
    <w:rsid w:val="006E4271"/>
    <w:rsid w:val="006E4574"/>
    <w:rsid w:val="006E6244"/>
    <w:rsid w:val="006F1ED4"/>
    <w:rsid w:val="006F3EEB"/>
    <w:rsid w:val="006F5AD9"/>
    <w:rsid w:val="006F6E74"/>
    <w:rsid w:val="00700D0F"/>
    <w:rsid w:val="00701D3D"/>
    <w:rsid w:val="00705EEF"/>
    <w:rsid w:val="0070696F"/>
    <w:rsid w:val="00707DAE"/>
    <w:rsid w:val="00714FA3"/>
    <w:rsid w:val="00732D06"/>
    <w:rsid w:val="00733EF8"/>
    <w:rsid w:val="0075142F"/>
    <w:rsid w:val="007534AC"/>
    <w:rsid w:val="00757714"/>
    <w:rsid w:val="007617FD"/>
    <w:rsid w:val="007633DE"/>
    <w:rsid w:val="0076589A"/>
    <w:rsid w:val="00766081"/>
    <w:rsid w:val="007664A5"/>
    <w:rsid w:val="00770E90"/>
    <w:rsid w:val="007828AE"/>
    <w:rsid w:val="00794BD3"/>
    <w:rsid w:val="007A0EB9"/>
    <w:rsid w:val="007A1327"/>
    <w:rsid w:val="007A497E"/>
    <w:rsid w:val="007A7C5E"/>
    <w:rsid w:val="007B16CC"/>
    <w:rsid w:val="007B74C9"/>
    <w:rsid w:val="007C1FFF"/>
    <w:rsid w:val="007C52CD"/>
    <w:rsid w:val="007C5E3E"/>
    <w:rsid w:val="007C64FE"/>
    <w:rsid w:val="007C6EBB"/>
    <w:rsid w:val="007D3389"/>
    <w:rsid w:val="007D56BA"/>
    <w:rsid w:val="007D5CAD"/>
    <w:rsid w:val="007D6163"/>
    <w:rsid w:val="007E198C"/>
    <w:rsid w:val="007E4040"/>
    <w:rsid w:val="007E6ED2"/>
    <w:rsid w:val="007F1F0C"/>
    <w:rsid w:val="007F2F6C"/>
    <w:rsid w:val="007F5228"/>
    <w:rsid w:val="00802D6F"/>
    <w:rsid w:val="00803705"/>
    <w:rsid w:val="00805D68"/>
    <w:rsid w:val="008066EC"/>
    <w:rsid w:val="008107E5"/>
    <w:rsid w:val="00812265"/>
    <w:rsid w:val="00813D68"/>
    <w:rsid w:val="00815CB9"/>
    <w:rsid w:val="00817421"/>
    <w:rsid w:val="00826275"/>
    <w:rsid w:val="0082AACF"/>
    <w:rsid w:val="00831F1E"/>
    <w:rsid w:val="00833EC9"/>
    <w:rsid w:val="0083583B"/>
    <w:rsid w:val="00836E4B"/>
    <w:rsid w:val="00837388"/>
    <w:rsid w:val="00837E2B"/>
    <w:rsid w:val="00841FC6"/>
    <w:rsid w:val="0084520A"/>
    <w:rsid w:val="008538DF"/>
    <w:rsid w:val="00855610"/>
    <w:rsid w:val="008577EE"/>
    <w:rsid w:val="00862738"/>
    <w:rsid w:val="008673B2"/>
    <w:rsid w:val="00870734"/>
    <w:rsid w:val="008768AE"/>
    <w:rsid w:val="00883875"/>
    <w:rsid w:val="0088479D"/>
    <w:rsid w:val="008900B3"/>
    <w:rsid w:val="00890BC7"/>
    <w:rsid w:val="0089439D"/>
    <w:rsid w:val="00894A9F"/>
    <w:rsid w:val="008959DD"/>
    <w:rsid w:val="008A7473"/>
    <w:rsid w:val="008A7A2F"/>
    <w:rsid w:val="008A7A5E"/>
    <w:rsid w:val="008B25C0"/>
    <w:rsid w:val="008B477D"/>
    <w:rsid w:val="008C0030"/>
    <w:rsid w:val="008C055C"/>
    <w:rsid w:val="008C7EE5"/>
    <w:rsid w:val="008D08A9"/>
    <w:rsid w:val="008E06C0"/>
    <w:rsid w:val="008E22FA"/>
    <w:rsid w:val="008E279F"/>
    <w:rsid w:val="008E370D"/>
    <w:rsid w:val="008E5B33"/>
    <w:rsid w:val="008E5B49"/>
    <w:rsid w:val="008E7506"/>
    <w:rsid w:val="008F00C3"/>
    <w:rsid w:val="008F04EA"/>
    <w:rsid w:val="008F5FB5"/>
    <w:rsid w:val="008F7E8B"/>
    <w:rsid w:val="00902B51"/>
    <w:rsid w:val="00904664"/>
    <w:rsid w:val="00904754"/>
    <w:rsid w:val="00910CBA"/>
    <w:rsid w:val="00915DAE"/>
    <w:rsid w:val="0092076E"/>
    <w:rsid w:val="00922106"/>
    <w:rsid w:val="00937A44"/>
    <w:rsid w:val="0094263B"/>
    <w:rsid w:val="00943CE6"/>
    <w:rsid w:val="009441F3"/>
    <w:rsid w:val="0094445C"/>
    <w:rsid w:val="00955463"/>
    <w:rsid w:val="00955948"/>
    <w:rsid w:val="00965EF9"/>
    <w:rsid w:val="0096711A"/>
    <w:rsid w:val="0097102C"/>
    <w:rsid w:val="0097143B"/>
    <w:rsid w:val="00972D6A"/>
    <w:rsid w:val="009732F2"/>
    <w:rsid w:val="00975C7D"/>
    <w:rsid w:val="009760F8"/>
    <w:rsid w:val="0099325A"/>
    <w:rsid w:val="00996625"/>
    <w:rsid w:val="009A26D2"/>
    <w:rsid w:val="009A362A"/>
    <w:rsid w:val="009B4998"/>
    <w:rsid w:val="009B5966"/>
    <w:rsid w:val="009B661B"/>
    <w:rsid w:val="009C0CCB"/>
    <w:rsid w:val="009C1662"/>
    <w:rsid w:val="009C36F1"/>
    <w:rsid w:val="009D2B4D"/>
    <w:rsid w:val="009D2B94"/>
    <w:rsid w:val="009D30DC"/>
    <w:rsid w:val="009E3CBF"/>
    <w:rsid w:val="009E55E2"/>
    <w:rsid w:val="009E59C7"/>
    <w:rsid w:val="009E6F5E"/>
    <w:rsid w:val="00A003B3"/>
    <w:rsid w:val="00A00AAE"/>
    <w:rsid w:val="00A00D49"/>
    <w:rsid w:val="00A01146"/>
    <w:rsid w:val="00A024EE"/>
    <w:rsid w:val="00A04CD9"/>
    <w:rsid w:val="00A06D25"/>
    <w:rsid w:val="00A0707E"/>
    <w:rsid w:val="00A07948"/>
    <w:rsid w:val="00A10E49"/>
    <w:rsid w:val="00A203EA"/>
    <w:rsid w:val="00A250B9"/>
    <w:rsid w:val="00A33F4A"/>
    <w:rsid w:val="00A344D7"/>
    <w:rsid w:val="00A360AC"/>
    <w:rsid w:val="00A36B53"/>
    <w:rsid w:val="00A36D73"/>
    <w:rsid w:val="00A426EF"/>
    <w:rsid w:val="00A439B4"/>
    <w:rsid w:val="00A46250"/>
    <w:rsid w:val="00A5013E"/>
    <w:rsid w:val="00A5085E"/>
    <w:rsid w:val="00A52E7D"/>
    <w:rsid w:val="00A54314"/>
    <w:rsid w:val="00A56FD9"/>
    <w:rsid w:val="00A70174"/>
    <w:rsid w:val="00A7147C"/>
    <w:rsid w:val="00A74DB4"/>
    <w:rsid w:val="00A75BAE"/>
    <w:rsid w:val="00A76FE9"/>
    <w:rsid w:val="00A81C95"/>
    <w:rsid w:val="00A833FD"/>
    <w:rsid w:val="00A847A0"/>
    <w:rsid w:val="00A85F62"/>
    <w:rsid w:val="00A86A16"/>
    <w:rsid w:val="00A86D77"/>
    <w:rsid w:val="00A877CA"/>
    <w:rsid w:val="00A9008E"/>
    <w:rsid w:val="00A9261A"/>
    <w:rsid w:val="00A92FA7"/>
    <w:rsid w:val="00A9451D"/>
    <w:rsid w:val="00AA2353"/>
    <w:rsid w:val="00AA2918"/>
    <w:rsid w:val="00AA319B"/>
    <w:rsid w:val="00AA5E5F"/>
    <w:rsid w:val="00AA77AB"/>
    <w:rsid w:val="00AB072E"/>
    <w:rsid w:val="00AB159A"/>
    <w:rsid w:val="00AB21F9"/>
    <w:rsid w:val="00AB67EF"/>
    <w:rsid w:val="00AB7CBA"/>
    <w:rsid w:val="00AC0BAC"/>
    <w:rsid w:val="00AC198A"/>
    <w:rsid w:val="00AC21DB"/>
    <w:rsid w:val="00AD0CA6"/>
    <w:rsid w:val="00AD6D94"/>
    <w:rsid w:val="00AD6DC4"/>
    <w:rsid w:val="00AE1297"/>
    <w:rsid w:val="00AE349B"/>
    <w:rsid w:val="00AE3FFF"/>
    <w:rsid w:val="00AE63BF"/>
    <w:rsid w:val="00AE6712"/>
    <w:rsid w:val="00AF0D34"/>
    <w:rsid w:val="00AF0E79"/>
    <w:rsid w:val="00AF0F90"/>
    <w:rsid w:val="00AF3178"/>
    <w:rsid w:val="00AF3501"/>
    <w:rsid w:val="00AF402A"/>
    <w:rsid w:val="00AF5BE0"/>
    <w:rsid w:val="00B02EA0"/>
    <w:rsid w:val="00B06E49"/>
    <w:rsid w:val="00B103F1"/>
    <w:rsid w:val="00B13823"/>
    <w:rsid w:val="00B13BFB"/>
    <w:rsid w:val="00B1445E"/>
    <w:rsid w:val="00B213BE"/>
    <w:rsid w:val="00B21E78"/>
    <w:rsid w:val="00B2201A"/>
    <w:rsid w:val="00B2424F"/>
    <w:rsid w:val="00B242D8"/>
    <w:rsid w:val="00B319EE"/>
    <w:rsid w:val="00B32DC1"/>
    <w:rsid w:val="00B36F08"/>
    <w:rsid w:val="00B41D6D"/>
    <w:rsid w:val="00B432C7"/>
    <w:rsid w:val="00B442F5"/>
    <w:rsid w:val="00B456E2"/>
    <w:rsid w:val="00B50D1D"/>
    <w:rsid w:val="00B51FC7"/>
    <w:rsid w:val="00B5532D"/>
    <w:rsid w:val="00B60332"/>
    <w:rsid w:val="00B6040F"/>
    <w:rsid w:val="00B61040"/>
    <w:rsid w:val="00B622D8"/>
    <w:rsid w:val="00B62EDC"/>
    <w:rsid w:val="00B63210"/>
    <w:rsid w:val="00B63D71"/>
    <w:rsid w:val="00B65564"/>
    <w:rsid w:val="00B70924"/>
    <w:rsid w:val="00B7102E"/>
    <w:rsid w:val="00B71E59"/>
    <w:rsid w:val="00B73285"/>
    <w:rsid w:val="00B74B9F"/>
    <w:rsid w:val="00B767E8"/>
    <w:rsid w:val="00B838BE"/>
    <w:rsid w:val="00B85CB7"/>
    <w:rsid w:val="00B86639"/>
    <w:rsid w:val="00B87CDE"/>
    <w:rsid w:val="00B904AD"/>
    <w:rsid w:val="00B907BF"/>
    <w:rsid w:val="00B909D5"/>
    <w:rsid w:val="00B930C5"/>
    <w:rsid w:val="00BA220F"/>
    <w:rsid w:val="00BA595D"/>
    <w:rsid w:val="00BB004C"/>
    <w:rsid w:val="00BB3434"/>
    <w:rsid w:val="00BB3ED2"/>
    <w:rsid w:val="00BB6569"/>
    <w:rsid w:val="00BC0089"/>
    <w:rsid w:val="00BC4DBC"/>
    <w:rsid w:val="00BC51D9"/>
    <w:rsid w:val="00BC5C9F"/>
    <w:rsid w:val="00BD2F07"/>
    <w:rsid w:val="00BD3B19"/>
    <w:rsid w:val="00BD6C1A"/>
    <w:rsid w:val="00BD75F2"/>
    <w:rsid w:val="00BF076D"/>
    <w:rsid w:val="00BF2BD8"/>
    <w:rsid w:val="00C0102E"/>
    <w:rsid w:val="00C126B6"/>
    <w:rsid w:val="00C16BE9"/>
    <w:rsid w:val="00C22F4D"/>
    <w:rsid w:val="00C25572"/>
    <w:rsid w:val="00C3776C"/>
    <w:rsid w:val="00C53E25"/>
    <w:rsid w:val="00C61FBB"/>
    <w:rsid w:val="00C70259"/>
    <w:rsid w:val="00C7250D"/>
    <w:rsid w:val="00C7567C"/>
    <w:rsid w:val="00C81368"/>
    <w:rsid w:val="00C84674"/>
    <w:rsid w:val="00C93218"/>
    <w:rsid w:val="00C9458A"/>
    <w:rsid w:val="00CA0F10"/>
    <w:rsid w:val="00CA1A81"/>
    <w:rsid w:val="00CA5D83"/>
    <w:rsid w:val="00CA60B1"/>
    <w:rsid w:val="00CB1775"/>
    <w:rsid w:val="00CB1BF7"/>
    <w:rsid w:val="00CB5DD8"/>
    <w:rsid w:val="00CB7CB6"/>
    <w:rsid w:val="00CC160B"/>
    <w:rsid w:val="00CC247E"/>
    <w:rsid w:val="00CC6B38"/>
    <w:rsid w:val="00CC7486"/>
    <w:rsid w:val="00CD1BCD"/>
    <w:rsid w:val="00CD248E"/>
    <w:rsid w:val="00CD2B42"/>
    <w:rsid w:val="00CE03C3"/>
    <w:rsid w:val="00CE36E7"/>
    <w:rsid w:val="00CE50B3"/>
    <w:rsid w:val="00CF02DE"/>
    <w:rsid w:val="00CF1272"/>
    <w:rsid w:val="00CF2A94"/>
    <w:rsid w:val="00CF30C4"/>
    <w:rsid w:val="00CF3BAD"/>
    <w:rsid w:val="00D00C11"/>
    <w:rsid w:val="00D02E68"/>
    <w:rsid w:val="00D1197C"/>
    <w:rsid w:val="00D11EFD"/>
    <w:rsid w:val="00D15BDB"/>
    <w:rsid w:val="00D16689"/>
    <w:rsid w:val="00D170DD"/>
    <w:rsid w:val="00D21ECB"/>
    <w:rsid w:val="00D23F26"/>
    <w:rsid w:val="00D23F88"/>
    <w:rsid w:val="00D30B69"/>
    <w:rsid w:val="00D318F3"/>
    <w:rsid w:val="00D32A56"/>
    <w:rsid w:val="00D32EB8"/>
    <w:rsid w:val="00D36755"/>
    <w:rsid w:val="00D36BA5"/>
    <w:rsid w:val="00D40F5E"/>
    <w:rsid w:val="00D411DB"/>
    <w:rsid w:val="00D43241"/>
    <w:rsid w:val="00D452E8"/>
    <w:rsid w:val="00D575E2"/>
    <w:rsid w:val="00D57ABF"/>
    <w:rsid w:val="00D605BD"/>
    <w:rsid w:val="00D60D6B"/>
    <w:rsid w:val="00D60E35"/>
    <w:rsid w:val="00D66404"/>
    <w:rsid w:val="00D7108B"/>
    <w:rsid w:val="00D71DE3"/>
    <w:rsid w:val="00D735CA"/>
    <w:rsid w:val="00D76927"/>
    <w:rsid w:val="00D76E49"/>
    <w:rsid w:val="00D93882"/>
    <w:rsid w:val="00D97EA6"/>
    <w:rsid w:val="00DA0C2D"/>
    <w:rsid w:val="00DA5A1A"/>
    <w:rsid w:val="00DB291F"/>
    <w:rsid w:val="00DB2B5F"/>
    <w:rsid w:val="00DB70A6"/>
    <w:rsid w:val="00DB7239"/>
    <w:rsid w:val="00DC2964"/>
    <w:rsid w:val="00DC424B"/>
    <w:rsid w:val="00DC7AFB"/>
    <w:rsid w:val="00DD1B5E"/>
    <w:rsid w:val="00DD2A27"/>
    <w:rsid w:val="00DD6356"/>
    <w:rsid w:val="00DD7D25"/>
    <w:rsid w:val="00DE19AE"/>
    <w:rsid w:val="00DE1F1C"/>
    <w:rsid w:val="00DE4E61"/>
    <w:rsid w:val="00DE4FED"/>
    <w:rsid w:val="00DE7163"/>
    <w:rsid w:val="00DF107E"/>
    <w:rsid w:val="00DF13A8"/>
    <w:rsid w:val="00DF352F"/>
    <w:rsid w:val="00DF3D67"/>
    <w:rsid w:val="00E0272F"/>
    <w:rsid w:val="00E02D52"/>
    <w:rsid w:val="00E07580"/>
    <w:rsid w:val="00E150DB"/>
    <w:rsid w:val="00E22E3A"/>
    <w:rsid w:val="00E24BEF"/>
    <w:rsid w:val="00E3183D"/>
    <w:rsid w:val="00E338BB"/>
    <w:rsid w:val="00E354DF"/>
    <w:rsid w:val="00E4114E"/>
    <w:rsid w:val="00E46B41"/>
    <w:rsid w:val="00E46F9E"/>
    <w:rsid w:val="00E500C3"/>
    <w:rsid w:val="00E50B06"/>
    <w:rsid w:val="00E51A5E"/>
    <w:rsid w:val="00E51DBD"/>
    <w:rsid w:val="00E53DFE"/>
    <w:rsid w:val="00E56E85"/>
    <w:rsid w:val="00E624BB"/>
    <w:rsid w:val="00E64BB2"/>
    <w:rsid w:val="00E665B1"/>
    <w:rsid w:val="00E66A6C"/>
    <w:rsid w:val="00E724FA"/>
    <w:rsid w:val="00E81BBC"/>
    <w:rsid w:val="00E87A50"/>
    <w:rsid w:val="00E947B3"/>
    <w:rsid w:val="00E94BC3"/>
    <w:rsid w:val="00E95747"/>
    <w:rsid w:val="00EA0C97"/>
    <w:rsid w:val="00EA653D"/>
    <w:rsid w:val="00EA79F9"/>
    <w:rsid w:val="00EB0883"/>
    <w:rsid w:val="00EB1B87"/>
    <w:rsid w:val="00EB2A33"/>
    <w:rsid w:val="00EB2B44"/>
    <w:rsid w:val="00EB45C2"/>
    <w:rsid w:val="00EB5340"/>
    <w:rsid w:val="00EB6B99"/>
    <w:rsid w:val="00EC03D7"/>
    <w:rsid w:val="00EC054C"/>
    <w:rsid w:val="00EC1D58"/>
    <w:rsid w:val="00EC2768"/>
    <w:rsid w:val="00EC37DA"/>
    <w:rsid w:val="00EC6788"/>
    <w:rsid w:val="00ED14A8"/>
    <w:rsid w:val="00ED3573"/>
    <w:rsid w:val="00ED3D94"/>
    <w:rsid w:val="00ED55F2"/>
    <w:rsid w:val="00ED5EC2"/>
    <w:rsid w:val="00EE0D6C"/>
    <w:rsid w:val="00EE162B"/>
    <w:rsid w:val="00EE3E3C"/>
    <w:rsid w:val="00EE6C3D"/>
    <w:rsid w:val="00EF6891"/>
    <w:rsid w:val="00F02477"/>
    <w:rsid w:val="00F02A72"/>
    <w:rsid w:val="00F05565"/>
    <w:rsid w:val="00F12143"/>
    <w:rsid w:val="00F12DDC"/>
    <w:rsid w:val="00F14131"/>
    <w:rsid w:val="00F14A9A"/>
    <w:rsid w:val="00F14C27"/>
    <w:rsid w:val="00F1654E"/>
    <w:rsid w:val="00F17D45"/>
    <w:rsid w:val="00F20C25"/>
    <w:rsid w:val="00F218DF"/>
    <w:rsid w:val="00F2530E"/>
    <w:rsid w:val="00F25828"/>
    <w:rsid w:val="00F25C2A"/>
    <w:rsid w:val="00F25EC0"/>
    <w:rsid w:val="00F32DFC"/>
    <w:rsid w:val="00F33927"/>
    <w:rsid w:val="00F34F14"/>
    <w:rsid w:val="00F3621B"/>
    <w:rsid w:val="00F378C2"/>
    <w:rsid w:val="00F43050"/>
    <w:rsid w:val="00F45E04"/>
    <w:rsid w:val="00F504DA"/>
    <w:rsid w:val="00F513AE"/>
    <w:rsid w:val="00F60360"/>
    <w:rsid w:val="00F638DF"/>
    <w:rsid w:val="00F652DB"/>
    <w:rsid w:val="00F717D6"/>
    <w:rsid w:val="00F73F1D"/>
    <w:rsid w:val="00F80CA0"/>
    <w:rsid w:val="00F817CE"/>
    <w:rsid w:val="00F8310B"/>
    <w:rsid w:val="00F856FF"/>
    <w:rsid w:val="00F900F8"/>
    <w:rsid w:val="00F92F1D"/>
    <w:rsid w:val="00F94205"/>
    <w:rsid w:val="00F96DBB"/>
    <w:rsid w:val="00F970DB"/>
    <w:rsid w:val="00F971B5"/>
    <w:rsid w:val="00FA004C"/>
    <w:rsid w:val="00FA087F"/>
    <w:rsid w:val="00FA2B83"/>
    <w:rsid w:val="00FA6277"/>
    <w:rsid w:val="00FB1246"/>
    <w:rsid w:val="00FB1E9A"/>
    <w:rsid w:val="00FB6F22"/>
    <w:rsid w:val="00FD1BD6"/>
    <w:rsid w:val="00FD1D25"/>
    <w:rsid w:val="00FD3CE5"/>
    <w:rsid w:val="00FE1742"/>
    <w:rsid w:val="00FE1D1E"/>
    <w:rsid w:val="00FE2693"/>
    <w:rsid w:val="00FE428E"/>
    <w:rsid w:val="00FE7602"/>
    <w:rsid w:val="00FF0620"/>
    <w:rsid w:val="00FF3856"/>
    <w:rsid w:val="00FF42CB"/>
    <w:rsid w:val="00FF589A"/>
    <w:rsid w:val="01DFF360"/>
    <w:rsid w:val="032BEC7F"/>
    <w:rsid w:val="0433306E"/>
    <w:rsid w:val="04E2A1D6"/>
    <w:rsid w:val="05834C45"/>
    <w:rsid w:val="05A696D4"/>
    <w:rsid w:val="05C2BCED"/>
    <w:rsid w:val="05ED5330"/>
    <w:rsid w:val="06770E3D"/>
    <w:rsid w:val="069CC6D7"/>
    <w:rsid w:val="06C68D00"/>
    <w:rsid w:val="0742CA2E"/>
    <w:rsid w:val="0791B3B7"/>
    <w:rsid w:val="07DCA823"/>
    <w:rsid w:val="08224608"/>
    <w:rsid w:val="0838EBB4"/>
    <w:rsid w:val="0874CE7B"/>
    <w:rsid w:val="08AB620C"/>
    <w:rsid w:val="08B4CF48"/>
    <w:rsid w:val="08FF19AD"/>
    <w:rsid w:val="0911E07F"/>
    <w:rsid w:val="0916EAE1"/>
    <w:rsid w:val="0934B15D"/>
    <w:rsid w:val="0947FF6A"/>
    <w:rsid w:val="0A52F8EB"/>
    <w:rsid w:val="0B31FFDB"/>
    <w:rsid w:val="0C97368D"/>
    <w:rsid w:val="0CB29862"/>
    <w:rsid w:val="0CE589AF"/>
    <w:rsid w:val="0E203893"/>
    <w:rsid w:val="0EA0017F"/>
    <w:rsid w:val="0EC97F89"/>
    <w:rsid w:val="0EF37D1B"/>
    <w:rsid w:val="0EF61BB8"/>
    <w:rsid w:val="0F43BF5C"/>
    <w:rsid w:val="104398F2"/>
    <w:rsid w:val="112E98AB"/>
    <w:rsid w:val="11769AF5"/>
    <w:rsid w:val="11BCCDE5"/>
    <w:rsid w:val="12208255"/>
    <w:rsid w:val="12283D0A"/>
    <w:rsid w:val="125C90C4"/>
    <w:rsid w:val="130B9B4F"/>
    <w:rsid w:val="1341E734"/>
    <w:rsid w:val="1453DC0C"/>
    <w:rsid w:val="14B8CC7D"/>
    <w:rsid w:val="151294B0"/>
    <w:rsid w:val="15197D0B"/>
    <w:rsid w:val="153A90D4"/>
    <w:rsid w:val="158EF011"/>
    <w:rsid w:val="15E85272"/>
    <w:rsid w:val="160CBFF4"/>
    <w:rsid w:val="168F68A9"/>
    <w:rsid w:val="1696B585"/>
    <w:rsid w:val="169897AE"/>
    <w:rsid w:val="17AADED8"/>
    <w:rsid w:val="18CF36DF"/>
    <w:rsid w:val="19817B04"/>
    <w:rsid w:val="1B26DF11"/>
    <w:rsid w:val="1B8783E8"/>
    <w:rsid w:val="1C11D7A6"/>
    <w:rsid w:val="1C708D6F"/>
    <w:rsid w:val="1C9EA55A"/>
    <w:rsid w:val="1CECE14C"/>
    <w:rsid w:val="1CFA7B4D"/>
    <w:rsid w:val="1D046A70"/>
    <w:rsid w:val="1D086E58"/>
    <w:rsid w:val="1D193BB4"/>
    <w:rsid w:val="1D353B5B"/>
    <w:rsid w:val="1D7A324A"/>
    <w:rsid w:val="1D91B991"/>
    <w:rsid w:val="1D9C106E"/>
    <w:rsid w:val="1DD7AEF8"/>
    <w:rsid w:val="1E8274E9"/>
    <w:rsid w:val="1F0BA4B6"/>
    <w:rsid w:val="202770E3"/>
    <w:rsid w:val="202BA441"/>
    <w:rsid w:val="21CE1F41"/>
    <w:rsid w:val="22B5F0EB"/>
    <w:rsid w:val="22C7DFE0"/>
    <w:rsid w:val="22D0AD37"/>
    <w:rsid w:val="22F45015"/>
    <w:rsid w:val="23196011"/>
    <w:rsid w:val="2320DEC5"/>
    <w:rsid w:val="246E98B6"/>
    <w:rsid w:val="24DEECF3"/>
    <w:rsid w:val="24ECFC4D"/>
    <w:rsid w:val="2504D481"/>
    <w:rsid w:val="2586A3D7"/>
    <w:rsid w:val="2590A8F2"/>
    <w:rsid w:val="25B73C17"/>
    <w:rsid w:val="27143FAD"/>
    <w:rsid w:val="274A176B"/>
    <w:rsid w:val="27555DC0"/>
    <w:rsid w:val="278058DF"/>
    <w:rsid w:val="27B47865"/>
    <w:rsid w:val="27C7F433"/>
    <w:rsid w:val="282A403F"/>
    <w:rsid w:val="285EC1DD"/>
    <w:rsid w:val="28D5624C"/>
    <w:rsid w:val="28FC4D81"/>
    <w:rsid w:val="296304CC"/>
    <w:rsid w:val="29C92444"/>
    <w:rsid w:val="29ED2F09"/>
    <w:rsid w:val="29F8BB19"/>
    <w:rsid w:val="2A18A307"/>
    <w:rsid w:val="2A82FF7C"/>
    <w:rsid w:val="2B471D16"/>
    <w:rsid w:val="2BB4BC10"/>
    <w:rsid w:val="2BF255FD"/>
    <w:rsid w:val="2C512FB4"/>
    <w:rsid w:val="2D410394"/>
    <w:rsid w:val="2D4CDF32"/>
    <w:rsid w:val="2D86AF69"/>
    <w:rsid w:val="2DCC962F"/>
    <w:rsid w:val="2E594D62"/>
    <w:rsid w:val="2EC0523C"/>
    <w:rsid w:val="2ECCE122"/>
    <w:rsid w:val="2FE302DE"/>
    <w:rsid w:val="309A934D"/>
    <w:rsid w:val="30CF9E01"/>
    <w:rsid w:val="312353AE"/>
    <w:rsid w:val="31C392CA"/>
    <w:rsid w:val="31EAED1C"/>
    <w:rsid w:val="32025411"/>
    <w:rsid w:val="32F3C7AE"/>
    <w:rsid w:val="33864FBA"/>
    <w:rsid w:val="3395AEF9"/>
    <w:rsid w:val="3395C524"/>
    <w:rsid w:val="33AB772F"/>
    <w:rsid w:val="33C47190"/>
    <w:rsid w:val="34DE101B"/>
    <w:rsid w:val="3522D439"/>
    <w:rsid w:val="352A66B5"/>
    <w:rsid w:val="3572985C"/>
    <w:rsid w:val="35C1A986"/>
    <w:rsid w:val="373242CD"/>
    <w:rsid w:val="37756688"/>
    <w:rsid w:val="37A5F213"/>
    <w:rsid w:val="381506EB"/>
    <w:rsid w:val="3831A55E"/>
    <w:rsid w:val="390E4CB7"/>
    <w:rsid w:val="39231DFB"/>
    <w:rsid w:val="39B70A0C"/>
    <w:rsid w:val="39BC2E58"/>
    <w:rsid w:val="3AB9F32C"/>
    <w:rsid w:val="3B4C636C"/>
    <w:rsid w:val="3C1D093C"/>
    <w:rsid w:val="3C6C86C5"/>
    <w:rsid w:val="3C83E48E"/>
    <w:rsid w:val="3D8A16C9"/>
    <w:rsid w:val="3DEF073A"/>
    <w:rsid w:val="3DF2ED35"/>
    <w:rsid w:val="3F33F50D"/>
    <w:rsid w:val="407C842E"/>
    <w:rsid w:val="40D7FB7C"/>
    <w:rsid w:val="410DD1B7"/>
    <w:rsid w:val="414B0DF1"/>
    <w:rsid w:val="41813F99"/>
    <w:rsid w:val="426E8C52"/>
    <w:rsid w:val="426ECD6B"/>
    <w:rsid w:val="43674F62"/>
    <w:rsid w:val="43CEDA9C"/>
    <w:rsid w:val="43E01DF5"/>
    <w:rsid w:val="43FB2814"/>
    <w:rsid w:val="446404EA"/>
    <w:rsid w:val="448E0C93"/>
    <w:rsid w:val="4502B594"/>
    <w:rsid w:val="45C4CB5A"/>
    <w:rsid w:val="46D9AD08"/>
    <w:rsid w:val="47200561"/>
    <w:rsid w:val="4729D6CD"/>
    <w:rsid w:val="475E54EF"/>
    <w:rsid w:val="476CAD45"/>
    <w:rsid w:val="48421244"/>
    <w:rsid w:val="484FB293"/>
    <w:rsid w:val="48BC54DF"/>
    <w:rsid w:val="497581E0"/>
    <w:rsid w:val="49A72798"/>
    <w:rsid w:val="49C4AFB0"/>
    <w:rsid w:val="4A5B53EE"/>
    <w:rsid w:val="4A91E918"/>
    <w:rsid w:val="4AC39247"/>
    <w:rsid w:val="4AD26EE6"/>
    <w:rsid w:val="4B3719F7"/>
    <w:rsid w:val="4B74AA7A"/>
    <w:rsid w:val="4BEA576B"/>
    <w:rsid w:val="4D94FF9C"/>
    <w:rsid w:val="4D9CA426"/>
    <w:rsid w:val="4DC6A3E1"/>
    <w:rsid w:val="4F0D889E"/>
    <w:rsid w:val="4F950295"/>
    <w:rsid w:val="4FB102C8"/>
    <w:rsid w:val="5013C735"/>
    <w:rsid w:val="5042A38D"/>
    <w:rsid w:val="51AB23EA"/>
    <w:rsid w:val="51B28CC7"/>
    <w:rsid w:val="5207E9F6"/>
    <w:rsid w:val="521BDBC1"/>
    <w:rsid w:val="52688D65"/>
    <w:rsid w:val="52E4E038"/>
    <w:rsid w:val="531CF8EF"/>
    <w:rsid w:val="5321F4F1"/>
    <w:rsid w:val="53B239C8"/>
    <w:rsid w:val="53D5FE83"/>
    <w:rsid w:val="53F8C524"/>
    <w:rsid w:val="56220A95"/>
    <w:rsid w:val="56864218"/>
    <w:rsid w:val="56CCB39A"/>
    <w:rsid w:val="571C1D1E"/>
    <w:rsid w:val="574214D5"/>
    <w:rsid w:val="57D5A192"/>
    <w:rsid w:val="5819D2BE"/>
    <w:rsid w:val="58AA81F0"/>
    <w:rsid w:val="58BCAE4E"/>
    <w:rsid w:val="58C4AE63"/>
    <w:rsid w:val="591FFA00"/>
    <w:rsid w:val="592EDDA0"/>
    <w:rsid w:val="59F1DAC3"/>
    <w:rsid w:val="5A8A48BD"/>
    <w:rsid w:val="5B0C737E"/>
    <w:rsid w:val="5B54F876"/>
    <w:rsid w:val="5BF8A52E"/>
    <w:rsid w:val="5CBFB2A0"/>
    <w:rsid w:val="5CD3A46B"/>
    <w:rsid w:val="5D9B270F"/>
    <w:rsid w:val="5E4F0AE6"/>
    <w:rsid w:val="5E6862D4"/>
    <w:rsid w:val="5E6EBB9B"/>
    <w:rsid w:val="5EFA3018"/>
    <w:rsid w:val="5EFF35DF"/>
    <w:rsid w:val="5F0D38CA"/>
    <w:rsid w:val="5F1AC480"/>
    <w:rsid w:val="5F2BFECF"/>
    <w:rsid w:val="5F919A56"/>
    <w:rsid w:val="5FE22810"/>
    <w:rsid w:val="6008E848"/>
    <w:rsid w:val="606DD8B9"/>
    <w:rsid w:val="60AF94F0"/>
    <w:rsid w:val="6144FAF3"/>
    <w:rsid w:val="616A0C25"/>
    <w:rsid w:val="61C3F46D"/>
    <w:rsid w:val="6218FF85"/>
    <w:rsid w:val="6277285C"/>
    <w:rsid w:val="62F5815C"/>
    <w:rsid w:val="637476F8"/>
    <w:rsid w:val="63E56806"/>
    <w:rsid w:val="6403C48B"/>
    <w:rsid w:val="64A4155F"/>
    <w:rsid w:val="64DE51A9"/>
    <w:rsid w:val="64F4973A"/>
    <w:rsid w:val="65930013"/>
    <w:rsid w:val="65A548F0"/>
    <w:rsid w:val="66527FA2"/>
    <w:rsid w:val="667CFB16"/>
    <w:rsid w:val="67995626"/>
    <w:rsid w:val="683D6822"/>
    <w:rsid w:val="689D3B72"/>
    <w:rsid w:val="694D4A8C"/>
    <w:rsid w:val="6A7BECD4"/>
    <w:rsid w:val="6ABDE3D3"/>
    <w:rsid w:val="6B6241F9"/>
    <w:rsid w:val="6BA37443"/>
    <w:rsid w:val="6BC9622E"/>
    <w:rsid w:val="6BD50C45"/>
    <w:rsid w:val="6CBE0BAB"/>
    <w:rsid w:val="6CD7913F"/>
    <w:rsid w:val="6D1D844D"/>
    <w:rsid w:val="6D37DF28"/>
    <w:rsid w:val="6D3E06EC"/>
    <w:rsid w:val="6DAFF62E"/>
    <w:rsid w:val="6DDF281E"/>
    <w:rsid w:val="6E74A41A"/>
    <w:rsid w:val="6ECE6C4D"/>
    <w:rsid w:val="6F787C4F"/>
    <w:rsid w:val="6F798E5A"/>
    <w:rsid w:val="70A2E802"/>
    <w:rsid w:val="7149C1AC"/>
    <w:rsid w:val="7166B675"/>
    <w:rsid w:val="733D52A1"/>
    <w:rsid w:val="736FEA61"/>
    <w:rsid w:val="7392621F"/>
    <w:rsid w:val="73F3D85F"/>
    <w:rsid w:val="7403DCCA"/>
    <w:rsid w:val="743EBC57"/>
    <w:rsid w:val="753C100F"/>
    <w:rsid w:val="757C1AEA"/>
    <w:rsid w:val="75EA6E0D"/>
    <w:rsid w:val="761207C2"/>
    <w:rsid w:val="761E3384"/>
    <w:rsid w:val="7664B54C"/>
    <w:rsid w:val="76A8AE80"/>
    <w:rsid w:val="77475D9B"/>
    <w:rsid w:val="77FE813B"/>
    <w:rsid w:val="780E684D"/>
    <w:rsid w:val="78356DE0"/>
    <w:rsid w:val="7870DDA7"/>
    <w:rsid w:val="78714937"/>
    <w:rsid w:val="79BEE2EC"/>
    <w:rsid w:val="79D8581F"/>
    <w:rsid w:val="7A084337"/>
    <w:rsid w:val="7A340244"/>
    <w:rsid w:val="7A8598F0"/>
    <w:rsid w:val="7AF2A4E3"/>
    <w:rsid w:val="7BAF06DA"/>
    <w:rsid w:val="7BD8C444"/>
    <w:rsid w:val="7BFB29C2"/>
    <w:rsid w:val="7CD537AE"/>
    <w:rsid w:val="7D735D3E"/>
    <w:rsid w:val="7E078E2E"/>
    <w:rsid w:val="7E8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844F"/>
  <w15:chartTrackingRefBased/>
  <w15:docId w15:val="{7DB7F4A3-F561-4209-B941-6C287370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676C"/>
    <w:pPr>
      <w:widowControl w:val="0"/>
    </w:pPr>
    <w:rPr>
      <w:rFonts w:ascii="Cambria" w:eastAsia="Cambria" w:hAnsi="Cambria" w:cs="Cambria"/>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308D"/>
    <w:pPr>
      <w:widowControl w:val="0"/>
      <w:spacing w:after="0" w:line="240" w:lineRule="auto"/>
      <w:jc w:val="both"/>
    </w:pPr>
    <w:rPr>
      <w:rFonts w:ascii="Calibri" w:eastAsia="Cambria" w:hAnsi="Calibri" w:cs="Calibri"/>
      <w:sz w:val="24"/>
      <w:lang w:val="en"/>
    </w:rPr>
  </w:style>
  <w:style w:type="character" w:customStyle="1" w:styleId="NoSpacingChar">
    <w:name w:val="No Spacing Char"/>
    <w:basedOn w:val="DefaultParagraphFont"/>
    <w:link w:val="NoSpacing"/>
    <w:uiPriority w:val="1"/>
    <w:rsid w:val="0005308D"/>
    <w:rPr>
      <w:rFonts w:ascii="Calibri" w:eastAsia="Cambria" w:hAnsi="Calibri" w:cs="Calibri"/>
      <w:sz w:val="24"/>
      <w:lang w:val="en"/>
    </w:rPr>
  </w:style>
  <w:style w:type="character" w:styleId="LineNumber">
    <w:name w:val="line number"/>
    <w:basedOn w:val="DefaultParagraphFont"/>
    <w:uiPriority w:val="99"/>
    <w:semiHidden/>
    <w:unhideWhenUsed/>
    <w:rsid w:val="00550BE7"/>
  </w:style>
  <w:style w:type="paragraph" w:styleId="Header">
    <w:name w:val="header"/>
    <w:basedOn w:val="Normal"/>
    <w:link w:val="HeaderChar"/>
    <w:uiPriority w:val="99"/>
    <w:unhideWhenUsed/>
    <w:rsid w:val="005F7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3A"/>
  </w:style>
  <w:style w:type="paragraph" w:styleId="Footer">
    <w:name w:val="footer"/>
    <w:basedOn w:val="Normal"/>
    <w:link w:val="FooterChar"/>
    <w:uiPriority w:val="99"/>
    <w:unhideWhenUsed/>
    <w:rsid w:val="005F7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3A"/>
  </w:style>
  <w:style w:type="paragraph" w:customStyle="1" w:styleId="TableHeading">
    <w:name w:val="Table Heading"/>
    <w:basedOn w:val="Normal"/>
    <w:link w:val="TableHeadingChar"/>
    <w:qFormat/>
    <w:rsid w:val="000A676C"/>
    <w:pPr>
      <w:spacing w:after="0" w:line="240" w:lineRule="auto"/>
      <w:jc w:val="center"/>
    </w:pPr>
    <w:rPr>
      <w:rFonts w:ascii="Calibri" w:hAnsi="Calibri" w:cs="Calibri"/>
      <w:b/>
      <w:bCs/>
    </w:rPr>
  </w:style>
  <w:style w:type="paragraph" w:customStyle="1" w:styleId="TableHeading2">
    <w:name w:val="Table Heading2"/>
    <w:basedOn w:val="NoSpacing"/>
    <w:link w:val="TableHeading2Char"/>
    <w:qFormat/>
    <w:rsid w:val="000A676C"/>
    <w:rPr>
      <w:b/>
    </w:rPr>
  </w:style>
  <w:style w:type="character" w:customStyle="1" w:styleId="TableHeadingChar">
    <w:name w:val="Table Heading Char"/>
    <w:basedOn w:val="DefaultParagraphFont"/>
    <w:link w:val="TableHeading"/>
    <w:rsid w:val="000A676C"/>
    <w:rPr>
      <w:rFonts w:ascii="Calibri" w:eastAsia="Cambria" w:hAnsi="Calibri" w:cs="Calibri"/>
      <w:b/>
      <w:bCs/>
      <w:lang w:val="en"/>
    </w:rPr>
  </w:style>
  <w:style w:type="character" w:customStyle="1" w:styleId="TableHeading2Char">
    <w:name w:val="Table Heading2 Char"/>
    <w:basedOn w:val="NoSpacingChar"/>
    <w:link w:val="TableHeading2"/>
    <w:rsid w:val="000A676C"/>
    <w:rPr>
      <w:rFonts w:ascii="Calibri" w:eastAsia="Cambria" w:hAnsi="Calibri" w:cs="Calibri"/>
      <w:b/>
      <w:sz w:val="24"/>
      <w:lang w:val="en"/>
    </w:rPr>
  </w:style>
  <w:style w:type="paragraph" w:customStyle="1" w:styleId="FigureCaption">
    <w:name w:val="Figure Caption"/>
    <w:basedOn w:val="Normal"/>
    <w:link w:val="FigureCaptionChar"/>
    <w:qFormat/>
    <w:rsid w:val="000A676C"/>
    <w:rPr>
      <w:rFonts w:asciiTheme="majorHAnsi" w:hAnsiTheme="majorHAnsi" w:cstheme="majorHAnsi"/>
      <w:i/>
    </w:rPr>
  </w:style>
  <w:style w:type="character" w:customStyle="1" w:styleId="FigureCaptionChar">
    <w:name w:val="Figure Caption Char"/>
    <w:basedOn w:val="DefaultParagraphFont"/>
    <w:link w:val="FigureCaption"/>
    <w:rsid w:val="000A676C"/>
    <w:rPr>
      <w:rFonts w:asciiTheme="majorHAnsi" w:eastAsia="Cambria" w:hAnsiTheme="majorHAnsi" w:cstheme="majorHAnsi"/>
      <w:i/>
      <w:lang w:val="en"/>
    </w:rPr>
  </w:style>
  <w:style w:type="table" w:styleId="TableGrid">
    <w:name w:val="Table Grid"/>
    <w:basedOn w:val="TableNormal"/>
    <w:uiPriority w:val="39"/>
    <w:rsid w:val="000A676C"/>
    <w:pPr>
      <w:widowControl w:val="0"/>
      <w:spacing w:after="0" w:line="240" w:lineRule="auto"/>
    </w:pPr>
    <w:rPr>
      <w:rFonts w:ascii="Cambria" w:eastAsia="Cambria" w:hAnsi="Cambria" w:cs="Cambria"/>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0A676C"/>
    <w:pPr>
      <w:widowControl/>
      <w:spacing w:after="120" w:line="240" w:lineRule="auto"/>
    </w:pPr>
    <w:rPr>
      <w:rFonts w:ascii="Calibri" w:eastAsiaTheme="minorHAnsi" w:hAnsi="Calibri" w:cstheme="minorBidi"/>
      <w:color w:val="000000" w:themeColor="text1"/>
      <w:sz w:val="20"/>
      <w:szCs w:val="20"/>
      <w:lang w:val="en-US"/>
    </w:rPr>
  </w:style>
  <w:style w:type="character" w:customStyle="1" w:styleId="FootnoteTextChar">
    <w:name w:val="Footnote Text Char"/>
    <w:basedOn w:val="DefaultParagraphFont"/>
    <w:link w:val="FootnoteText"/>
    <w:uiPriority w:val="99"/>
    <w:rsid w:val="000A676C"/>
    <w:rPr>
      <w:rFonts w:ascii="Calibri" w:hAnsi="Calibri"/>
      <w:color w:val="000000" w:themeColor="text1"/>
      <w:sz w:val="20"/>
      <w:szCs w:val="20"/>
    </w:rPr>
  </w:style>
  <w:style w:type="paragraph" w:styleId="EndnoteText">
    <w:name w:val="endnote text"/>
    <w:basedOn w:val="Normal"/>
    <w:link w:val="EndnoteTextChar"/>
    <w:uiPriority w:val="99"/>
    <w:semiHidden/>
    <w:unhideWhenUsed/>
    <w:rsid w:val="00560E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0E34"/>
    <w:rPr>
      <w:rFonts w:ascii="Cambria" w:eastAsia="Cambria" w:hAnsi="Cambria" w:cs="Cambria"/>
      <w:sz w:val="20"/>
      <w:szCs w:val="20"/>
      <w:lang w:val="en"/>
    </w:rPr>
  </w:style>
  <w:style w:type="character" w:styleId="EndnoteReference">
    <w:name w:val="endnote reference"/>
    <w:basedOn w:val="DefaultParagraphFont"/>
    <w:uiPriority w:val="99"/>
    <w:semiHidden/>
    <w:unhideWhenUsed/>
    <w:rsid w:val="00560E34"/>
    <w:rPr>
      <w:vertAlign w:val="superscript"/>
    </w:rPr>
  </w:style>
  <w:style w:type="character" w:styleId="FootnoteReference">
    <w:name w:val="footnote reference"/>
    <w:basedOn w:val="DefaultParagraphFont"/>
    <w:uiPriority w:val="99"/>
    <w:semiHidden/>
    <w:unhideWhenUsed/>
    <w:rsid w:val="00560E34"/>
    <w:rPr>
      <w:vertAlign w:val="superscript"/>
    </w:rPr>
  </w:style>
  <w:style w:type="character" w:styleId="CommentReference">
    <w:name w:val="annotation reference"/>
    <w:basedOn w:val="DefaultParagraphFont"/>
    <w:uiPriority w:val="99"/>
    <w:semiHidden/>
    <w:unhideWhenUsed/>
    <w:rsid w:val="007C6EBB"/>
    <w:rPr>
      <w:sz w:val="16"/>
      <w:szCs w:val="16"/>
    </w:rPr>
  </w:style>
  <w:style w:type="paragraph" w:styleId="CommentText">
    <w:name w:val="annotation text"/>
    <w:basedOn w:val="Normal"/>
    <w:link w:val="CommentTextChar"/>
    <w:uiPriority w:val="99"/>
    <w:unhideWhenUsed/>
    <w:rsid w:val="007C6EBB"/>
    <w:pPr>
      <w:spacing w:line="240" w:lineRule="auto"/>
    </w:pPr>
    <w:rPr>
      <w:sz w:val="20"/>
      <w:szCs w:val="20"/>
    </w:rPr>
  </w:style>
  <w:style w:type="character" w:customStyle="1" w:styleId="CommentTextChar">
    <w:name w:val="Comment Text Char"/>
    <w:basedOn w:val="DefaultParagraphFont"/>
    <w:link w:val="CommentText"/>
    <w:uiPriority w:val="99"/>
    <w:rsid w:val="007C6EBB"/>
    <w:rPr>
      <w:rFonts w:ascii="Cambria" w:eastAsia="Cambria" w:hAnsi="Cambria" w:cs="Cambria"/>
      <w:sz w:val="20"/>
      <w:szCs w:val="20"/>
      <w:lang w:val="en"/>
    </w:rPr>
  </w:style>
  <w:style w:type="paragraph" w:styleId="CommentSubject">
    <w:name w:val="annotation subject"/>
    <w:basedOn w:val="CommentText"/>
    <w:next w:val="CommentText"/>
    <w:link w:val="CommentSubjectChar"/>
    <w:uiPriority w:val="99"/>
    <w:semiHidden/>
    <w:unhideWhenUsed/>
    <w:rsid w:val="007C6EBB"/>
    <w:rPr>
      <w:b/>
      <w:bCs/>
    </w:rPr>
  </w:style>
  <w:style w:type="character" w:customStyle="1" w:styleId="CommentSubjectChar">
    <w:name w:val="Comment Subject Char"/>
    <w:basedOn w:val="CommentTextChar"/>
    <w:link w:val="CommentSubject"/>
    <w:uiPriority w:val="99"/>
    <w:semiHidden/>
    <w:rsid w:val="007C6EBB"/>
    <w:rPr>
      <w:rFonts w:ascii="Cambria" w:eastAsia="Cambria" w:hAnsi="Cambria" w:cs="Cambria"/>
      <w:b/>
      <w:bCs/>
      <w:sz w:val="20"/>
      <w:szCs w:val="20"/>
      <w:lang w:val="en"/>
    </w:rPr>
  </w:style>
  <w:style w:type="character" w:styleId="Mention">
    <w:name w:val="Mention"/>
    <w:basedOn w:val="DefaultParagraphFont"/>
    <w:uiPriority w:val="99"/>
    <w:unhideWhenUsed/>
    <w:rsid w:val="00BF2BD8"/>
    <w:rPr>
      <w:color w:val="2B579A"/>
      <w:shd w:val="clear" w:color="auto" w:fill="E6E6E6"/>
    </w:rPr>
  </w:style>
  <w:style w:type="paragraph" w:styleId="Revision">
    <w:name w:val="Revision"/>
    <w:hidden/>
    <w:uiPriority w:val="99"/>
    <w:semiHidden/>
    <w:rsid w:val="006779EE"/>
    <w:pPr>
      <w:spacing w:after="0" w:line="240" w:lineRule="auto"/>
    </w:pPr>
    <w:rPr>
      <w:rFonts w:ascii="Cambria" w:eastAsia="Cambria" w:hAnsi="Cambria" w:cs="Cambria"/>
      <w:lang w:val="en"/>
    </w:rPr>
  </w:style>
  <w:style w:type="character" w:styleId="Hyperlink">
    <w:name w:val="Hyperlink"/>
    <w:basedOn w:val="DefaultParagraphFont"/>
    <w:uiPriority w:val="99"/>
    <w:unhideWhenUsed/>
    <w:rsid w:val="00EC054C"/>
    <w:rPr>
      <w:color w:val="0563C1" w:themeColor="hyperlink"/>
      <w:u w:val="single"/>
    </w:rPr>
  </w:style>
  <w:style w:type="character" w:styleId="UnresolvedMention">
    <w:name w:val="Unresolved Mention"/>
    <w:basedOn w:val="DefaultParagraphFont"/>
    <w:uiPriority w:val="99"/>
    <w:semiHidden/>
    <w:unhideWhenUsed/>
    <w:rsid w:val="00EC054C"/>
    <w:rPr>
      <w:color w:val="605E5C"/>
      <w:shd w:val="clear" w:color="auto" w:fill="E1DFDD"/>
    </w:rPr>
  </w:style>
  <w:style w:type="character" w:styleId="FollowedHyperlink">
    <w:name w:val="FollowedHyperlink"/>
    <w:basedOn w:val="DefaultParagraphFont"/>
    <w:uiPriority w:val="99"/>
    <w:semiHidden/>
    <w:unhideWhenUsed/>
    <w:rsid w:val="00A9261A"/>
    <w:rPr>
      <w:color w:val="954F72" w:themeColor="followedHyperlink"/>
      <w:u w:val="single"/>
    </w:rPr>
  </w:style>
  <w:style w:type="paragraph" w:styleId="Caption">
    <w:name w:val="caption"/>
    <w:basedOn w:val="Normal"/>
    <w:next w:val="Normal"/>
    <w:uiPriority w:val="35"/>
    <w:unhideWhenUsed/>
    <w:qFormat/>
    <w:rsid w:val="0023628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22599">
      <w:bodyDiv w:val="1"/>
      <w:marLeft w:val="0"/>
      <w:marRight w:val="0"/>
      <w:marTop w:val="0"/>
      <w:marBottom w:val="0"/>
      <w:divBdr>
        <w:top w:val="none" w:sz="0" w:space="0" w:color="auto"/>
        <w:left w:val="none" w:sz="0" w:space="0" w:color="auto"/>
        <w:bottom w:val="none" w:sz="0" w:space="0" w:color="auto"/>
        <w:right w:val="none" w:sz="0" w:space="0" w:color="auto"/>
      </w:divBdr>
    </w:div>
    <w:div w:id="1852061771">
      <w:bodyDiv w:val="1"/>
      <w:marLeft w:val="0"/>
      <w:marRight w:val="0"/>
      <w:marTop w:val="0"/>
      <w:marBottom w:val="0"/>
      <w:divBdr>
        <w:top w:val="none" w:sz="0" w:space="0" w:color="auto"/>
        <w:left w:val="none" w:sz="0" w:space="0" w:color="auto"/>
        <w:bottom w:val="none" w:sz="0" w:space="0" w:color="auto"/>
        <w:right w:val="none" w:sz="0" w:space="0" w:color="auto"/>
      </w:divBdr>
      <w:divsChild>
        <w:div w:id="61016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9/05/relationships/documenttasks" Target="documenttasks/documenttasks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c.ch/report/sr15/glossary/" TargetMode="External"/><Relationship Id="rId7" Type="http://schemas.openxmlformats.org/officeDocument/2006/relationships/hyperlink" Target="https://crsf.umaine.edu/forest-climate-change-initiative/carbon-budget/" TargetMode="External"/><Relationship Id="rId2" Type="http://schemas.openxmlformats.org/officeDocument/2006/relationships/hyperlink" Target="https://crsf.umaine.edu/forest-climate-change-initiative/carbon-budget/" TargetMode="External"/><Relationship Id="rId1" Type="http://schemas.openxmlformats.org/officeDocument/2006/relationships/hyperlink" Target="https://www.mrlc.gov/" TargetMode="External"/><Relationship Id="rId6" Type="http://schemas.openxmlformats.org/officeDocument/2006/relationships/hyperlink" Target="https://dec.vermont.gov/sites/dec/files/aqc/climate-change/documents/_Vermont_Greenhouse_Gas_Emissions_Inventory_Update_1990-2017_Final.pdf" TargetMode="External"/><Relationship Id="rId5" Type="http://schemas.openxmlformats.org/officeDocument/2006/relationships/hyperlink" Target="https://dec.vermont.gov/sites/dec/files/aqc/climate-change/documents/_Vermont_Greenhouse_Gas_Emissions_Inventory_Update_1990-2017_Final.pdf" TargetMode="External"/><Relationship Id="rId4" Type="http://schemas.openxmlformats.org/officeDocument/2006/relationships/hyperlink" Target="https://dec.vermont.gov/sites/dec/files/aqc/climate-change/documents/_Vermont_Greenhouse_Gas_Emissions_Inventory_Update_1990-2017_Final.pdf" TargetMode="External"/></Relationships>
</file>

<file path=word/documenttasks/documenttasks1.xml><?xml version="1.0" encoding="utf-8"?>
<t:Tasks xmlns:t="http://schemas.microsoft.com/office/tasks/2019/documenttasks" xmlns:oel="http://schemas.microsoft.com/office/2019/extlst">
  <t:Task id="{872BE7A4-5E3E-4EB7-93E0-6C00A28C9A88}">
    <t:Anchor>
      <t:Comment id="1996362475"/>
    </t:Anchor>
    <t:History>
      <t:Event id="{579BADE9-D0A4-48C8-AF28-2EE6583D0112}" time="2021-10-29T14:11:40.955Z">
        <t:Attribution userId="S::judson.peck@vermont.gov::8f20e3b9-9156-4f95-b86e-15584fc30c9f" userProvider="AD" userName="Peck, Judson"/>
        <t:Anchor>
          <t:Comment id="527409159"/>
        </t:Anchor>
        <t:Create/>
      </t:Event>
      <t:Event id="{AC167281-E773-4AD4-B96C-696AB42BFF75}" time="2021-10-29T14:11:40.955Z">
        <t:Attribution userId="S::judson.peck@vermont.gov::8f20e3b9-9156-4f95-b86e-15584fc30c9f" userProvider="AD" userName="Peck, Judson"/>
        <t:Anchor>
          <t:Comment id="527409159"/>
        </t:Anchor>
        <t:Assign userId="S::Ryan.Patch@vermont.gov::b9c277cd-0a79-49d5-ab94-875ccf9bf4cf" userProvider="AD" userName="Patch, Ryan"/>
      </t:Event>
      <t:Event id="{73F5CCC8-63A1-44B1-9EE3-AEAF6A243B63}" time="2021-10-29T14:11:40.955Z">
        <t:Attribution userId="S::judson.peck@vermont.gov::8f20e3b9-9156-4f95-b86e-15584fc30c9f" userProvider="AD" userName="Peck, Judson"/>
        <t:Anchor>
          <t:Comment id="527409159"/>
        </t:Anchor>
        <t:SetTitle title="See what @Patch, Ryan thi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XZ5MDUCQQUAD-1681286903-353</_dlc_DocId>
    <_dlc_DocIdUrl xmlns="6b8c8877-4f2b-4684-9e8f-d93efdb3ce36">
      <Url>https://outside.vermont.gov/agency/anr/climatecouncil/_layouts/15/DocIdRedir.aspx?ID=XZ5MDUCQQUAD-1681286903-353</Url>
      <Description>XZ5MDUCQQUAD-1681286903-353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F10094-8DF2-4AEF-BE9E-DED05FDC97E0}">
  <ds:schemaRefs>
    <ds:schemaRef ds:uri="http://schemas.openxmlformats.org/officeDocument/2006/bibliography"/>
  </ds:schemaRefs>
</ds:datastoreItem>
</file>

<file path=customXml/itemProps2.xml><?xml version="1.0" encoding="utf-8"?>
<ds:datastoreItem xmlns:ds="http://schemas.openxmlformats.org/officeDocument/2006/customXml" ds:itemID="{D186D10A-45CD-45AA-B800-0EAAF9CE00E0}"/>
</file>

<file path=customXml/itemProps3.xml><?xml version="1.0" encoding="utf-8"?>
<ds:datastoreItem xmlns:ds="http://schemas.openxmlformats.org/officeDocument/2006/customXml" ds:itemID="{277BB50D-C4AD-4B98-BF84-11272E406EE8}"/>
</file>

<file path=customXml/itemProps4.xml><?xml version="1.0" encoding="utf-8"?>
<ds:datastoreItem xmlns:ds="http://schemas.openxmlformats.org/officeDocument/2006/customXml" ds:itemID="{7949BF34-8514-4CF5-91B4-ADB847DF39E2}"/>
</file>

<file path=customXml/itemProps5.xml><?xml version="1.0" encoding="utf-8"?>
<ds:datastoreItem xmlns:ds="http://schemas.openxmlformats.org/officeDocument/2006/customXml" ds:itemID="{3107D29E-FF41-4D75-B76D-C07F23889378}"/>
</file>

<file path=docProps/app.xml><?xml version="1.0" encoding="utf-8"?>
<Properties xmlns="http://schemas.openxmlformats.org/officeDocument/2006/extended-properties" xmlns:vt="http://schemas.openxmlformats.org/officeDocument/2006/docPropsVTypes">
  <Template>Normal</Template>
  <TotalTime>8833</TotalTime>
  <Pages>7</Pages>
  <Words>1952</Words>
  <Characters>11128</Characters>
  <Application>Microsoft Office Word</Application>
  <DocSecurity>0</DocSecurity>
  <Lines>92</Lines>
  <Paragraphs>26</Paragraphs>
  <ScaleCrop>false</ScaleCrop>
  <Company/>
  <LinksUpToDate>false</LinksUpToDate>
  <CharactersWithSpaces>13054</CharactersWithSpaces>
  <SharedDoc>false</SharedDoc>
  <HLinks>
    <vt:vector size="48" baseType="variant">
      <vt:variant>
        <vt:i4>6291508</vt:i4>
      </vt:variant>
      <vt:variant>
        <vt:i4>18</vt:i4>
      </vt:variant>
      <vt:variant>
        <vt:i4>0</vt:i4>
      </vt:variant>
      <vt:variant>
        <vt:i4>5</vt:i4>
      </vt:variant>
      <vt:variant>
        <vt:lpwstr>https://crsf.umaine.edu/forest-climate-change-initiative/carbon-budget/</vt:lpwstr>
      </vt:variant>
      <vt:variant>
        <vt:lpwstr/>
      </vt:variant>
      <vt:variant>
        <vt:i4>4063353</vt:i4>
      </vt:variant>
      <vt:variant>
        <vt:i4>15</vt:i4>
      </vt:variant>
      <vt:variant>
        <vt:i4>0</vt:i4>
      </vt:variant>
      <vt:variant>
        <vt:i4>5</vt:i4>
      </vt:variant>
      <vt:variant>
        <vt:lpwstr>https://dec.vermont.gov/sites/dec/files/aqc/climate-change/documents/_Vermont_Greenhouse_Gas_Emissions_Inventory_Update_1990-2017_Final.pdf</vt:lpwstr>
      </vt:variant>
      <vt:variant>
        <vt:lpwstr/>
      </vt:variant>
      <vt:variant>
        <vt:i4>4063353</vt:i4>
      </vt:variant>
      <vt:variant>
        <vt:i4>12</vt:i4>
      </vt:variant>
      <vt:variant>
        <vt:i4>0</vt:i4>
      </vt:variant>
      <vt:variant>
        <vt:i4>5</vt:i4>
      </vt:variant>
      <vt:variant>
        <vt:lpwstr>https://dec.vermont.gov/sites/dec/files/aqc/climate-change/documents/_Vermont_Greenhouse_Gas_Emissions_Inventory_Update_1990-2017_Final.pdf</vt:lpwstr>
      </vt:variant>
      <vt:variant>
        <vt:lpwstr/>
      </vt:variant>
      <vt:variant>
        <vt:i4>4063353</vt:i4>
      </vt:variant>
      <vt:variant>
        <vt:i4>9</vt:i4>
      </vt:variant>
      <vt:variant>
        <vt:i4>0</vt:i4>
      </vt:variant>
      <vt:variant>
        <vt:i4>5</vt:i4>
      </vt:variant>
      <vt:variant>
        <vt:lpwstr>https://dec.vermont.gov/sites/dec/files/aqc/climate-change/documents/_Vermont_Greenhouse_Gas_Emissions_Inventory_Update_1990-2017_Final.pdf</vt:lpwstr>
      </vt:variant>
      <vt:variant>
        <vt:lpwstr/>
      </vt:variant>
      <vt:variant>
        <vt:i4>196637</vt:i4>
      </vt:variant>
      <vt:variant>
        <vt:i4>6</vt:i4>
      </vt:variant>
      <vt:variant>
        <vt:i4>0</vt:i4>
      </vt:variant>
      <vt:variant>
        <vt:i4>5</vt:i4>
      </vt:variant>
      <vt:variant>
        <vt:lpwstr>https://www.ipcc.ch/report/sr15/glossary/</vt:lpwstr>
      </vt:variant>
      <vt:variant>
        <vt:lpwstr/>
      </vt:variant>
      <vt:variant>
        <vt:i4>6291508</vt:i4>
      </vt:variant>
      <vt:variant>
        <vt:i4>3</vt:i4>
      </vt:variant>
      <vt:variant>
        <vt:i4>0</vt:i4>
      </vt:variant>
      <vt:variant>
        <vt:i4>5</vt:i4>
      </vt:variant>
      <vt:variant>
        <vt:lpwstr>https://crsf.umaine.edu/forest-climate-change-initiative/carbon-budget/</vt:lpwstr>
      </vt:variant>
      <vt:variant>
        <vt:lpwstr/>
      </vt:variant>
      <vt:variant>
        <vt:i4>4718592</vt:i4>
      </vt:variant>
      <vt:variant>
        <vt:i4>0</vt:i4>
      </vt:variant>
      <vt:variant>
        <vt:i4>0</vt:i4>
      </vt:variant>
      <vt:variant>
        <vt:i4>5</vt:i4>
      </vt:variant>
      <vt:variant>
        <vt:lpwstr>https://www.mrlc.gov/</vt:lpwstr>
      </vt:variant>
      <vt:variant>
        <vt:lpwstr/>
      </vt:variant>
      <vt:variant>
        <vt:i4>3801161</vt:i4>
      </vt:variant>
      <vt:variant>
        <vt:i4>0</vt:i4>
      </vt:variant>
      <vt:variant>
        <vt:i4>0</vt:i4>
      </vt:variant>
      <vt:variant>
        <vt:i4>5</vt:i4>
      </vt:variant>
      <vt:variant>
        <vt:lpwstr>mailto:Ryan.Patch@vermont.gov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Kosiba, Alexandra</dc:creator>
  <cp:keywords/>
  <dc:description/>
  <cp:lastModifiedBy>Kosiba, Alexandra</cp:lastModifiedBy>
  <cp:revision>709</cp:revision>
  <dcterms:created xsi:type="dcterms:W3CDTF">2021-10-20T19:28:00Z</dcterms:created>
  <dcterms:modified xsi:type="dcterms:W3CDTF">2021-11-15T23:17:00Z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281a7cc1-d293-4313-b983-36ec7e1cb50c</vt:lpwstr>
  </property>
</Properties>
</file>