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58C00" w14:textId="758461CE" w:rsidR="00AA7934" w:rsidRPr="00DF59C9" w:rsidRDefault="00DF59C9" w:rsidP="00DF59C9">
      <w:pPr>
        <w:pStyle w:val="NormalWeb"/>
        <w:spacing w:line="360" w:lineRule="auto"/>
        <w:rPr>
          <w:sz w:val="32"/>
          <w:szCs w:val="32"/>
        </w:rPr>
      </w:pPr>
      <w:r w:rsidRPr="00DF59C9">
        <w:rPr>
          <w:b/>
          <w:bCs/>
          <w:sz w:val="32"/>
          <w:szCs w:val="32"/>
        </w:rPr>
        <w:t>E</w:t>
      </w:r>
      <w:r w:rsidR="00684854" w:rsidRPr="00DF59C9">
        <w:rPr>
          <w:b/>
          <w:bCs/>
          <w:sz w:val="32"/>
          <w:szCs w:val="32"/>
        </w:rPr>
        <w:t xml:space="preserve">nergy </w:t>
      </w:r>
      <w:r w:rsidR="007B3170" w:rsidRPr="00DF59C9">
        <w:rPr>
          <w:b/>
          <w:bCs/>
          <w:sz w:val="32"/>
          <w:szCs w:val="32"/>
        </w:rPr>
        <w:t xml:space="preserve">Economy </w:t>
      </w:r>
      <w:r w:rsidRPr="00DF59C9">
        <w:rPr>
          <w:b/>
          <w:bCs/>
          <w:sz w:val="32"/>
          <w:szCs w:val="32"/>
        </w:rPr>
        <w:t>and</w:t>
      </w:r>
      <w:r w:rsidR="007B3170" w:rsidRPr="00DF59C9">
        <w:rPr>
          <w:b/>
          <w:bCs/>
          <w:sz w:val="32"/>
          <w:szCs w:val="32"/>
        </w:rPr>
        <w:t xml:space="preserve"> </w:t>
      </w:r>
      <w:r w:rsidR="0004428C" w:rsidRPr="00DF59C9">
        <w:rPr>
          <w:b/>
          <w:bCs/>
          <w:sz w:val="32"/>
          <w:szCs w:val="32"/>
        </w:rPr>
        <w:t>Opportunities Related to Climate Action</w:t>
      </w:r>
    </w:p>
    <w:p w14:paraId="7B9639C9" w14:textId="07520BAD" w:rsidR="00AA7934" w:rsidRPr="00DF59C9" w:rsidRDefault="00AA7934" w:rsidP="00481A17">
      <w:pPr>
        <w:pStyle w:val="NormalWeb"/>
        <w:spacing w:line="360" w:lineRule="auto"/>
        <w:rPr>
          <w:b/>
          <w:bCs/>
          <w:sz w:val="28"/>
          <w:szCs w:val="28"/>
        </w:rPr>
      </w:pPr>
      <w:r w:rsidRPr="00DF59C9">
        <w:rPr>
          <w:b/>
          <w:bCs/>
          <w:sz w:val="28"/>
          <w:szCs w:val="28"/>
        </w:rPr>
        <w:t>Current Vermont Context Regarding Energy</w:t>
      </w:r>
      <w:r w:rsidR="00B6751C" w:rsidRPr="00DF59C9">
        <w:rPr>
          <w:b/>
          <w:bCs/>
          <w:sz w:val="28"/>
          <w:szCs w:val="28"/>
        </w:rPr>
        <w:t xml:space="preserve"> &amp; the Economy</w:t>
      </w:r>
    </w:p>
    <w:p w14:paraId="41C58AA1" w14:textId="37FE3482" w:rsidR="00B6751C" w:rsidRPr="00AA7934" w:rsidRDefault="001855FE" w:rsidP="00481A17">
      <w:pPr>
        <w:pStyle w:val="NormalWeb"/>
        <w:spacing w:line="360" w:lineRule="auto"/>
      </w:pPr>
      <w:r w:rsidRPr="00AA7934">
        <w:t>In 2018, Vermont</w:t>
      </w:r>
      <w:r w:rsidR="00480FDB" w:rsidRPr="00AA7934">
        <w:t>’</w:t>
      </w:r>
      <w:r w:rsidRPr="00AA7934">
        <w:t xml:space="preserve">s Gross State Product included roughly $32 billion in economic transactions. </w:t>
      </w:r>
      <w:r w:rsidR="00480FDB" w:rsidRPr="00AA7934">
        <w:t xml:space="preserve">Over </w:t>
      </w:r>
      <w:r w:rsidR="00B45B1E" w:rsidRPr="00AA7934">
        <w:t xml:space="preserve">the last decade, the cost </w:t>
      </w:r>
      <w:r w:rsidR="00480FDB" w:rsidRPr="00AA7934">
        <w:t>of</w:t>
      </w:r>
      <w:r w:rsidR="00B45B1E" w:rsidRPr="00AA7934">
        <w:t xml:space="preserve"> energy expenditures </w:t>
      </w:r>
      <w:r w:rsidR="00AA7934" w:rsidRPr="00AA7934">
        <w:t>for</w:t>
      </w:r>
      <w:r w:rsidR="00B45B1E" w:rsidRPr="00AA7934">
        <w:t xml:space="preserve"> Vermont households and businesses has </w:t>
      </w:r>
      <w:r w:rsidR="00480FDB" w:rsidRPr="00AA7934">
        <w:t xml:space="preserve">averaged </w:t>
      </w:r>
      <w:r w:rsidR="00B45B1E" w:rsidRPr="00AA7934">
        <w:t>ab</w:t>
      </w:r>
      <w:r w:rsidR="00480FDB" w:rsidRPr="00AA7934">
        <w:t>ove</w:t>
      </w:r>
      <w:r w:rsidR="00B45B1E" w:rsidRPr="00AA7934">
        <w:t xml:space="preserve"> $2.</w:t>
      </w:r>
      <w:r w:rsidR="00480FDB" w:rsidRPr="00AA7934">
        <w:t>7</w:t>
      </w:r>
      <w:r w:rsidR="00B45B1E" w:rsidRPr="00AA7934">
        <w:t xml:space="preserve"> billion</w:t>
      </w:r>
      <w:r w:rsidR="00480FDB" w:rsidRPr="00AA7934">
        <w:t xml:space="preserve"> per year</w:t>
      </w:r>
      <w:r w:rsidR="00B45B1E" w:rsidRPr="00AA7934">
        <w:t xml:space="preserve">. </w:t>
      </w:r>
    </w:p>
    <w:p w14:paraId="499B618E" w14:textId="5B0AE8BF" w:rsidR="00AF4DA3" w:rsidRDefault="00F11F03" w:rsidP="00481A17">
      <w:pPr>
        <w:pStyle w:val="NormalWeb"/>
        <w:spacing w:line="360" w:lineRule="auto"/>
      </w:pPr>
      <w:r>
        <w:t>Figure</w:t>
      </w:r>
      <w:r w:rsidR="00B45B1E">
        <w:t xml:space="preserve"> 1.</w:t>
      </w:r>
      <w:r w:rsidR="00AF4DA3">
        <w:t xml:space="preserve"> </w:t>
      </w:r>
      <w:r w:rsidR="00AF4DA3" w:rsidRPr="00D25885">
        <w:rPr>
          <w:u w:val="single"/>
        </w:rPr>
        <w:t>Vermont Average Annual Energy Consumption and Expenditures, 2009 - 2018</w:t>
      </w:r>
    </w:p>
    <w:tbl>
      <w:tblPr>
        <w:tblW w:w="9266" w:type="dxa"/>
        <w:tblInd w:w="-5" w:type="dxa"/>
        <w:tblLook w:val="04A0" w:firstRow="1" w:lastRow="0" w:firstColumn="1" w:lastColumn="0" w:noHBand="0" w:noVBand="1"/>
      </w:tblPr>
      <w:tblGrid>
        <w:gridCol w:w="2688"/>
        <w:gridCol w:w="1847"/>
        <w:gridCol w:w="4731"/>
      </w:tblGrid>
      <w:tr w:rsidR="00B45B1E" w:rsidRPr="00B45B1E" w14:paraId="5E1FBD68" w14:textId="77777777" w:rsidTr="00481A17">
        <w:trPr>
          <w:trHeight w:val="368"/>
        </w:trPr>
        <w:tc>
          <w:tcPr>
            <w:tcW w:w="2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04A2"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w:t>
            </w:r>
          </w:p>
        </w:tc>
        <w:tc>
          <w:tcPr>
            <w:tcW w:w="1847" w:type="dxa"/>
            <w:tcBorders>
              <w:top w:val="single" w:sz="4" w:space="0" w:color="auto"/>
              <w:left w:val="nil"/>
              <w:bottom w:val="single" w:sz="4" w:space="0" w:color="auto"/>
              <w:right w:val="single" w:sz="4" w:space="0" w:color="auto"/>
            </w:tcBorders>
            <w:shd w:val="clear" w:color="auto" w:fill="auto"/>
            <w:noWrap/>
            <w:vAlign w:val="bottom"/>
            <w:hideMark/>
          </w:tcPr>
          <w:p w14:paraId="15B2B117" w14:textId="77777777" w:rsidR="00B45B1E" w:rsidRPr="00B45B1E" w:rsidRDefault="00B45B1E" w:rsidP="00481A17">
            <w:pPr>
              <w:spacing w:after="0" w:line="240" w:lineRule="auto"/>
              <w:jc w:val="center"/>
              <w:rPr>
                <w:rFonts w:ascii="Times New Roman" w:eastAsia="Times New Roman" w:hAnsi="Times New Roman" w:cs="Times New Roman"/>
                <w:b/>
                <w:bCs/>
                <w:color w:val="000000"/>
                <w:sz w:val="24"/>
                <w:szCs w:val="24"/>
                <w:u w:val="single"/>
              </w:rPr>
            </w:pPr>
            <w:r w:rsidRPr="00B45B1E">
              <w:rPr>
                <w:rFonts w:ascii="Times New Roman" w:eastAsia="Times New Roman" w:hAnsi="Times New Roman" w:cs="Times New Roman"/>
                <w:b/>
                <w:bCs/>
                <w:color w:val="000000"/>
                <w:sz w:val="24"/>
                <w:szCs w:val="24"/>
                <w:u w:val="single"/>
              </w:rPr>
              <w:t>Volume</w:t>
            </w:r>
          </w:p>
        </w:tc>
        <w:tc>
          <w:tcPr>
            <w:tcW w:w="4731" w:type="dxa"/>
            <w:tcBorders>
              <w:top w:val="single" w:sz="4" w:space="0" w:color="auto"/>
              <w:left w:val="nil"/>
              <w:bottom w:val="single" w:sz="4" w:space="0" w:color="auto"/>
              <w:right w:val="single" w:sz="4" w:space="0" w:color="auto"/>
            </w:tcBorders>
            <w:shd w:val="clear" w:color="auto" w:fill="auto"/>
            <w:noWrap/>
            <w:vAlign w:val="bottom"/>
            <w:hideMark/>
          </w:tcPr>
          <w:p w14:paraId="03408AF6" w14:textId="77777777" w:rsidR="00B45B1E" w:rsidRPr="00B45B1E" w:rsidRDefault="00B45B1E" w:rsidP="00481A17">
            <w:pPr>
              <w:spacing w:after="0" w:line="240" w:lineRule="auto"/>
              <w:jc w:val="center"/>
              <w:rPr>
                <w:rFonts w:ascii="Times New Roman" w:eastAsia="Times New Roman" w:hAnsi="Times New Roman" w:cs="Times New Roman"/>
                <w:b/>
                <w:bCs/>
                <w:color w:val="000000"/>
                <w:sz w:val="24"/>
                <w:szCs w:val="24"/>
                <w:u w:val="single"/>
              </w:rPr>
            </w:pPr>
            <w:r w:rsidRPr="00B45B1E">
              <w:rPr>
                <w:rFonts w:ascii="Times New Roman" w:eastAsia="Times New Roman" w:hAnsi="Times New Roman" w:cs="Times New Roman"/>
                <w:b/>
                <w:bCs/>
                <w:color w:val="000000"/>
                <w:sz w:val="24"/>
                <w:szCs w:val="24"/>
                <w:u w:val="single"/>
              </w:rPr>
              <w:t>$ Spent</w:t>
            </w:r>
          </w:p>
        </w:tc>
      </w:tr>
      <w:tr w:rsidR="00B45B1E" w:rsidRPr="00B45B1E" w14:paraId="2531EB80"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02B227E9"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Gasoline (gallons) </w:t>
            </w:r>
          </w:p>
        </w:tc>
        <w:tc>
          <w:tcPr>
            <w:tcW w:w="1847" w:type="dxa"/>
            <w:tcBorders>
              <w:top w:val="nil"/>
              <w:left w:val="nil"/>
              <w:bottom w:val="single" w:sz="4" w:space="0" w:color="auto"/>
              <w:right w:val="single" w:sz="4" w:space="0" w:color="auto"/>
            </w:tcBorders>
            <w:shd w:val="clear" w:color="auto" w:fill="auto"/>
            <w:noWrap/>
            <w:vAlign w:val="bottom"/>
            <w:hideMark/>
          </w:tcPr>
          <w:p w14:paraId="07B1DA0F"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321,103,421</w:t>
            </w:r>
          </w:p>
        </w:tc>
        <w:tc>
          <w:tcPr>
            <w:tcW w:w="4731" w:type="dxa"/>
            <w:tcBorders>
              <w:top w:val="nil"/>
              <w:left w:val="nil"/>
              <w:bottom w:val="single" w:sz="4" w:space="0" w:color="auto"/>
              <w:right w:val="single" w:sz="4" w:space="0" w:color="auto"/>
            </w:tcBorders>
            <w:shd w:val="clear" w:color="auto" w:fill="auto"/>
            <w:noWrap/>
            <w:vAlign w:val="bottom"/>
            <w:hideMark/>
          </w:tcPr>
          <w:p w14:paraId="4D071EB5"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938,120,000 </w:t>
            </w:r>
          </w:p>
        </w:tc>
      </w:tr>
      <w:tr w:rsidR="00B45B1E" w:rsidRPr="00B45B1E" w14:paraId="59D70C77"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07244B52"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Diesel (gallons)</w:t>
            </w:r>
          </w:p>
        </w:tc>
        <w:tc>
          <w:tcPr>
            <w:tcW w:w="1847" w:type="dxa"/>
            <w:tcBorders>
              <w:top w:val="nil"/>
              <w:left w:val="nil"/>
              <w:bottom w:val="single" w:sz="4" w:space="0" w:color="auto"/>
              <w:right w:val="single" w:sz="4" w:space="0" w:color="auto"/>
            </w:tcBorders>
            <w:shd w:val="clear" w:color="auto" w:fill="auto"/>
            <w:noWrap/>
            <w:vAlign w:val="bottom"/>
            <w:hideMark/>
          </w:tcPr>
          <w:p w14:paraId="166A36A6"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64,716,958</w:t>
            </w:r>
          </w:p>
        </w:tc>
        <w:tc>
          <w:tcPr>
            <w:tcW w:w="4731" w:type="dxa"/>
            <w:tcBorders>
              <w:top w:val="nil"/>
              <w:left w:val="nil"/>
              <w:bottom w:val="single" w:sz="4" w:space="0" w:color="auto"/>
              <w:right w:val="single" w:sz="4" w:space="0" w:color="auto"/>
            </w:tcBorders>
            <w:shd w:val="clear" w:color="auto" w:fill="auto"/>
            <w:noWrap/>
            <w:vAlign w:val="bottom"/>
            <w:hideMark/>
          </w:tcPr>
          <w:p w14:paraId="03BF3814"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238,330,000 </w:t>
            </w:r>
          </w:p>
        </w:tc>
      </w:tr>
      <w:tr w:rsidR="00B45B1E" w:rsidRPr="00B45B1E" w14:paraId="1D69DF4E"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A0609B9"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Fuel Oil (gallons) </w:t>
            </w:r>
          </w:p>
        </w:tc>
        <w:tc>
          <w:tcPr>
            <w:tcW w:w="1847" w:type="dxa"/>
            <w:tcBorders>
              <w:top w:val="nil"/>
              <w:left w:val="nil"/>
              <w:bottom w:val="single" w:sz="4" w:space="0" w:color="auto"/>
              <w:right w:val="single" w:sz="4" w:space="0" w:color="auto"/>
            </w:tcBorders>
            <w:shd w:val="clear" w:color="auto" w:fill="auto"/>
            <w:noWrap/>
            <w:vAlign w:val="bottom"/>
            <w:hideMark/>
          </w:tcPr>
          <w:p w14:paraId="44AFC58A"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129,851,400</w:t>
            </w:r>
          </w:p>
        </w:tc>
        <w:tc>
          <w:tcPr>
            <w:tcW w:w="4731" w:type="dxa"/>
            <w:tcBorders>
              <w:top w:val="nil"/>
              <w:left w:val="nil"/>
              <w:bottom w:val="single" w:sz="4" w:space="0" w:color="auto"/>
              <w:right w:val="single" w:sz="4" w:space="0" w:color="auto"/>
            </w:tcBorders>
            <w:shd w:val="clear" w:color="auto" w:fill="auto"/>
            <w:noWrap/>
            <w:vAlign w:val="bottom"/>
            <w:hideMark/>
          </w:tcPr>
          <w:p w14:paraId="263A15FA"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386,400,000 </w:t>
            </w:r>
          </w:p>
        </w:tc>
      </w:tr>
      <w:tr w:rsidR="00B45B1E" w:rsidRPr="00B45B1E" w14:paraId="4DBF86BB"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01A871C1"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Propane (gallons) </w:t>
            </w:r>
          </w:p>
        </w:tc>
        <w:tc>
          <w:tcPr>
            <w:tcW w:w="1847" w:type="dxa"/>
            <w:tcBorders>
              <w:top w:val="nil"/>
              <w:left w:val="nil"/>
              <w:bottom w:val="single" w:sz="4" w:space="0" w:color="auto"/>
              <w:right w:val="single" w:sz="4" w:space="0" w:color="auto"/>
            </w:tcBorders>
            <w:shd w:val="clear" w:color="auto" w:fill="auto"/>
            <w:noWrap/>
            <w:vAlign w:val="bottom"/>
            <w:hideMark/>
          </w:tcPr>
          <w:p w14:paraId="3620B85B"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105,638,400</w:t>
            </w:r>
          </w:p>
        </w:tc>
        <w:tc>
          <w:tcPr>
            <w:tcW w:w="4731" w:type="dxa"/>
            <w:tcBorders>
              <w:top w:val="nil"/>
              <w:left w:val="nil"/>
              <w:bottom w:val="single" w:sz="4" w:space="0" w:color="auto"/>
              <w:right w:val="single" w:sz="4" w:space="0" w:color="auto"/>
            </w:tcBorders>
            <w:shd w:val="clear" w:color="auto" w:fill="auto"/>
            <w:noWrap/>
            <w:vAlign w:val="bottom"/>
            <w:hideMark/>
          </w:tcPr>
          <w:p w14:paraId="204D3A3A"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261,660,000 </w:t>
            </w:r>
          </w:p>
        </w:tc>
      </w:tr>
      <w:tr w:rsidR="00B45B1E" w:rsidRPr="00B45B1E" w14:paraId="718C22B2"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7A08E99"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Natural Gas (bcf) </w:t>
            </w:r>
          </w:p>
        </w:tc>
        <w:tc>
          <w:tcPr>
            <w:tcW w:w="1847" w:type="dxa"/>
            <w:tcBorders>
              <w:top w:val="nil"/>
              <w:left w:val="nil"/>
              <w:bottom w:val="single" w:sz="4" w:space="0" w:color="auto"/>
              <w:right w:val="single" w:sz="4" w:space="0" w:color="auto"/>
            </w:tcBorders>
            <w:shd w:val="clear" w:color="auto" w:fill="auto"/>
            <w:noWrap/>
            <w:vAlign w:val="bottom"/>
            <w:hideMark/>
          </w:tcPr>
          <w:p w14:paraId="758B552D"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10.5</w:t>
            </w:r>
          </w:p>
        </w:tc>
        <w:tc>
          <w:tcPr>
            <w:tcW w:w="4731" w:type="dxa"/>
            <w:tcBorders>
              <w:top w:val="nil"/>
              <w:left w:val="nil"/>
              <w:bottom w:val="single" w:sz="4" w:space="0" w:color="auto"/>
              <w:right w:val="single" w:sz="4" w:space="0" w:color="auto"/>
            </w:tcBorders>
            <w:shd w:val="clear" w:color="auto" w:fill="auto"/>
            <w:noWrap/>
            <w:vAlign w:val="bottom"/>
            <w:hideMark/>
          </w:tcPr>
          <w:p w14:paraId="7D4F9821" w14:textId="77777777" w:rsidR="00B45B1E"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104,760,000 </w:t>
            </w:r>
          </w:p>
        </w:tc>
      </w:tr>
      <w:tr w:rsidR="00B45B1E" w:rsidRPr="00B45B1E" w14:paraId="0A1B10E6"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81BF87B" w14:textId="77777777" w:rsidR="00B45B1E" w:rsidRPr="00B45B1E" w:rsidRDefault="00B45B1E"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Electricity (MWh) </w:t>
            </w:r>
          </w:p>
        </w:tc>
        <w:tc>
          <w:tcPr>
            <w:tcW w:w="1847" w:type="dxa"/>
            <w:tcBorders>
              <w:top w:val="nil"/>
              <w:left w:val="nil"/>
              <w:bottom w:val="single" w:sz="4" w:space="0" w:color="auto"/>
              <w:right w:val="single" w:sz="4" w:space="0" w:color="auto"/>
            </w:tcBorders>
            <w:shd w:val="clear" w:color="auto" w:fill="auto"/>
            <w:noWrap/>
            <w:vAlign w:val="bottom"/>
            <w:hideMark/>
          </w:tcPr>
          <w:p w14:paraId="54185D3A" w14:textId="77777777" w:rsidR="00B45B1E" w:rsidRPr="00B45B1E" w:rsidRDefault="00B45B1E" w:rsidP="00481A17">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5,530</w:t>
            </w:r>
          </w:p>
        </w:tc>
        <w:tc>
          <w:tcPr>
            <w:tcW w:w="4731" w:type="dxa"/>
            <w:tcBorders>
              <w:top w:val="nil"/>
              <w:left w:val="nil"/>
              <w:bottom w:val="single" w:sz="4" w:space="0" w:color="auto"/>
              <w:right w:val="single" w:sz="4" w:space="0" w:color="auto"/>
            </w:tcBorders>
            <w:shd w:val="clear" w:color="auto" w:fill="auto"/>
            <w:noWrap/>
            <w:vAlign w:val="bottom"/>
            <w:hideMark/>
          </w:tcPr>
          <w:p w14:paraId="45BD4C0B" w14:textId="2B3888C2" w:rsidR="004F1E0A" w:rsidRPr="00B45B1E" w:rsidRDefault="00B45B1E"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784,170,000 </w:t>
            </w:r>
          </w:p>
        </w:tc>
      </w:tr>
      <w:tr w:rsidR="004F1E0A" w:rsidRPr="00B45B1E" w14:paraId="55C32910"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tcPr>
          <w:p w14:paraId="1012CDB7" w14:textId="07A795F6" w:rsidR="004F1E0A" w:rsidRPr="00B45B1E" w:rsidRDefault="004F1E0A" w:rsidP="00481A1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Wood</w:t>
            </w:r>
            <w:r>
              <w:rPr>
                <w:rStyle w:val="FootnoteReference"/>
                <w:rFonts w:ascii="Times New Roman" w:eastAsia="Times New Roman" w:hAnsi="Times New Roman" w:cs="Times New Roman"/>
                <w:b/>
                <w:bCs/>
                <w:color w:val="000000"/>
                <w:sz w:val="24"/>
                <w:szCs w:val="24"/>
              </w:rPr>
              <w:footnoteReference w:id="1"/>
            </w:r>
            <w:r>
              <w:rPr>
                <w:rFonts w:ascii="Times New Roman" w:eastAsia="Times New Roman" w:hAnsi="Times New Roman" w:cs="Times New Roman"/>
                <w:b/>
                <w:bCs/>
                <w:color w:val="000000"/>
                <w:sz w:val="24"/>
                <w:szCs w:val="24"/>
              </w:rPr>
              <w:t xml:space="preserve"> </w:t>
            </w:r>
          </w:p>
        </w:tc>
        <w:tc>
          <w:tcPr>
            <w:tcW w:w="1847" w:type="dxa"/>
            <w:tcBorders>
              <w:top w:val="nil"/>
              <w:left w:val="nil"/>
              <w:bottom w:val="single" w:sz="4" w:space="0" w:color="auto"/>
              <w:right w:val="single" w:sz="4" w:space="0" w:color="auto"/>
            </w:tcBorders>
            <w:shd w:val="clear" w:color="auto" w:fill="auto"/>
            <w:noWrap/>
            <w:vAlign w:val="bottom"/>
          </w:tcPr>
          <w:p w14:paraId="3C6AB26F" w14:textId="37805745" w:rsidR="004F1E0A" w:rsidRPr="00B45B1E" w:rsidRDefault="004F1E0A" w:rsidP="00481A17">
            <w:pPr>
              <w:spacing w:after="0" w:line="240" w:lineRule="auto"/>
              <w:rPr>
                <w:rFonts w:ascii="Times New Roman" w:eastAsia="Times New Roman" w:hAnsi="Times New Roman" w:cs="Times New Roman"/>
                <w:color w:val="000000"/>
                <w:sz w:val="24"/>
                <w:szCs w:val="24"/>
              </w:rPr>
            </w:pPr>
          </w:p>
        </w:tc>
        <w:tc>
          <w:tcPr>
            <w:tcW w:w="4731" w:type="dxa"/>
            <w:tcBorders>
              <w:top w:val="nil"/>
              <w:left w:val="nil"/>
              <w:bottom w:val="single" w:sz="4" w:space="0" w:color="auto"/>
              <w:right w:val="single" w:sz="4" w:space="0" w:color="auto"/>
            </w:tcBorders>
            <w:shd w:val="clear" w:color="auto" w:fill="auto"/>
            <w:noWrap/>
            <w:vAlign w:val="bottom"/>
          </w:tcPr>
          <w:p w14:paraId="644C14B4" w14:textId="12AE7048" w:rsidR="004F1E0A" w:rsidRPr="00B45B1E" w:rsidRDefault="004F1E0A"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 xml:space="preserve">  </w:t>
            </w:r>
            <w:r w:rsidRPr="00B45B1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r w:rsidRPr="00B45B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000</w:t>
            </w:r>
            <w:r w:rsidRPr="00B45B1E">
              <w:rPr>
                <w:rFonts w:ascii="Times New Roman" w:eastAsia="Times New Roman" w:hAnsi="Times New Roman" w:cs="Times New Roman"/>
                <w:color w:val="000000"/>
                <w:sz w:val="24"/>
                <w:szCs w:val="24"/>
              </w:rPr>
              <w:t xml:space="preserve">,000 </w:t>
            </w:r>
          </w:p>
        </w:tc>
      </w:tr>
      <w:tr w:rsidR="004F1E0A" w:rsidRPr="00B45B1E" w14:paraId="76AE4E88" w14:textId="77777777" w:rsidTr="00481A17">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B64054C" w14:textId="77777777" w:rsidR="004F1E0A" w:rsidRPr="00B45B1E" w:rsidRDefault="004F1E0A" w:rsidP="00481A17">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TOTAL </w:t>
            </w:r>
          </w:p>
        </w:tc>
        <w:tc>
          <w:tcPr>
            <w:tcW w:w="1847" w:type="dxa"/>
            <w:tcBorders>
              <w:top w:val="nil"/>
              <w:left w:val="nil"/>
              <w:bottom w:val="single" w:sz="4" w:space="0" w:color="auto"/>
              <w:right w:val="single" w:sz="4" w:space="0" w:color="auto"/>
            </w:tcBorders>
            <w:shd w:val="clear" w:color="auto" w:fill="auto"/>
            <w:noWrap/>
            <w:vAlign w:val="bottom"/>
            <w:hideMark/>
          </w:tcPr>
          <w:p w14:paraId="572C01DC" w14:textId="77777777" w:rsidR="004F1E0A" w:rsidRPr="00B45B1E" w:rsidRDefault="004F1E0A"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w:t>
            </w:r>
          </w:p>
        </w:tc>
        <w:tc>
          <w:tcPr>
            <w:tcW w:w="4731" w:type="dxa"/>
            <w:tcBorders>
              <w:top w:val="nil"/>
              <w:left w:val="nil"/>
              <w:bottom w:val="single" w:sz="4" w:space="0" w:color="auto"/>
              <w:right w:val="single" w:sz="4" w:space="0" w:color="auto"/>
            </w:tcBorders>
            <w:shd w:val="clear" w:color="auto" w:fill="auto"/>
            <w:noWrap/>
            <w:vAlign w:val="bottom"/>
            <w:hideMark/>
          </w:tcPr>
          <w:p w14:paraId="4E50392D" w14:textId="594006D4" w:rsidR="004F1E0A" w:rsidRPr="00B45B1E" w:rsidRDefault="004F1E0A" w:rsidP="00481A17">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                    2,7</w:t>
            </w:r>
            <w:r>
              <w:rPr>
                <w:rFonts w:ascii="Times New Roman" w:eastAsia="Times New Roman" w:hAnsi="Times New Roman" w:cs="Times New Roman"/>
                <w:color w:val="000000"/>
                <w:sz w:val="24"/>
                <w:szCs w:val="24"/>
              </w:rPr>
              <w:t>9</w:t>
            </w:r>
            <w:r w:rsidRPr="00B45B1E">
              <w:rPr>
                <w:rFonts w:ascii="Times New Roman" w:eastAsia="Times New Roman" w:hAnsi="Times New Roman" w:cs="Times New Roman"/>
                <w:color w:val="000000"/>
                <w:sz w:val="24"/>
                <w:szCs w:val="24"/>
              </w:rPr>
              <w:t xml:space="preserve">3,440,000 </w:t>
            </w:r>
          </w:p>
        </w:tc>
      </w:tr>
      <w:tr w:rsidR="004F1E0A" w:rsidRPr="00B45B1E" w14:paraId="5AFEC7AD" w14:textId="77777777" w:rsidTr="00481A17">
        <w:trPr>
          <w:trHeight w:val="368"/>
        </w:trPr>
        <w:tc>
          <w:tcPr>
            <w:tcW w:w="2688" w:type="dxa"/>
            <w:tcBorders>
              <w:top w:val="nil"/>
              <w:left w:val="nil"/>
              <w:bottom w:val="nil"/>
              <w:right w:val="nil"/>
            </w:tcBorders>
            <w:shd w:val="clear" w:color="auto" w:fill="auto"/>
            <w:noWrap/>
            <w:vAlign w:val="bottom"/>
            <w:hideMark/>
          </w:tcPr>
          <w:p w14:paraId="1807B9C9" w14:textId="0CA8DBFF" w:rsidR="004F1E0A" w:rsidRPr="00B45B1E" w:rsidRDefault="004F1E0A" w:rsidP="00481A17">
            <w:pPr>
              <w:spacing w:after="0" w:line="36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Source: EIA</w:t>
            </w:r>
          </w:p>
        </w:tc>
        <w:tc>
          <w:tcPr>
            <w:tcW w:w="1847" w:type="dxa"/>
            <w:tcBorders>
              <w:top w:val="nil"/>
              <w:left w:val="nil"/>
              <w:bottom w:val="nil"/>
              <w:right w:val="nil"/>
            </w:tcBorders>
            <w:shd w:val="clear" w:color="auto" w:fill="auto"/>
            <w:noWrap/>
            <w:vAlign w:val="bottom"/>
            <w:hideMark/>
          </w:tcPr>
          <w:p w14:paraId="7B6F0997" w14:textId="77777777" w:rsidR="004F1E0A" w:rsidRPr="00B45B1E" w:rsidRDefault="004F1E0A" w:rsidP="00481A17">
            <w:pPr>
              <w:spacing w:after="0" w:line="360" w:lineRule="auto"/>
              <w:rPr>
                <w:rFonts w:ascii="Times New Roman" w:eastAsia="Times New Roman" w:hAnsi="Times New Roman" w:cs="Times New Roman"/>
                <w:color w:val="000000"/>
                <w:sz w:val="24"/>
                <w:szCs w:val="24"/>
              </w:rPr>
            </w:pPr>
          </w:p>
        </w:tc>
        <w:tc>
          <w:tcPr>
            <w:tcW w:w="4731" w:type="dxa"/>
            <w:tcBorders>
              <w:top w:val="nil"/>
              <w:left w:val="nil"/>
              <w:bottom w:val="nil"/>
              <w:right w:val="nil"/>
            </w:tcBorders>
            <w:shd w:val="clear" w:color="auto" w:fill="auto"/>
            <w:noWrap/>
            <w:vAlign w:val="bottom"/>
            <w:hideMark/>
          </w:tcPr>
          <w:p w14:paraId="6DCFE12F" w14:textId="77777777" w:rsidR="004F1E0A" w:rsidRPr="00B45B1E" w:rsidRDefault="004F1E0A" w:rsidP="00481A17">
            <w:pPr>
              <w:spacing w:after="0" w:line="360" w:lineRule="auto"/>
              <w:rPr>
                <w:rFonts w:ascii="Times New Roman" w:eastAsia="Times New Roman" w:hAnsi="Times New Roman" w:cs="Times New Roman"/>
                <w:sz w:val="20"/>
                <w:szCs w:val="20"/>
              </w:rPr>
            </w:pPr>
          </w:p>
        </w:tc>
      </w:tr>
    </w:tbl>
    <w:p w14:paraId="5DE73ACE" w14:textId="77777777" w:rsidR="001C2539" w:rsidRPr="004F1E0A" w:rsidRDefault="001C2539" w:rsidP="00481A17">
      <w:pPr>
        <w:spacing w:line="360" w:lineRule="auto"/>
        <w:rPr>
          <w:rFonts w:ascii="Times New Roman" w:hAnsi="Times New Roman" w:cs="Times New Roman"/>
          <w:sz w:val="16"/>
          <w:szCs w:val="16"/>
        </w:rPr>
      </w:pPr>
    </w:p>
    <w:p w14:paraId="63EE6ED9" w14:textId="31FF6674" w:rsidR="00481A17" w:rsidRDefault="001C2539" w:rsidP="00481A17">
      <w:pPr>
        <w:spacing w:line="360" w:lineRule="auto"/>
        <w:rPr>
          <w:rFonts w:ascii="Times New Roman" w:hAnsi="Times New Roman" w:cs="Times New Roman"/>
          <w:sz w:val="24"/>
          <w:szCs w:val="24"/>
        </w:rPr>
      </w:pPr>
      <w:r>
        <w:rPr>
          <w:rFonts w:ascii="Times New Roman" w:hAnsi="Times New Roman" w:cs="Times New Roman"/>
          <w:sz w:val="24"/>
          <w:szCs w:val="24"/>
        </w:rPr>
        <w:t xml:space="preserve">Of </w:t>
      </w:r>
      <w:r w:rsidR="00AA7934">
        <w:rPr>
          <w:rFonts w:ascii="Times New Roman" w:hAnsi="Times New Roman" w:cs="Times New Roman"/>
          <w:sz w:val="24"/>
          <w:szCs w:val="24"/>
        </w:rPr>
        <w:t>this total</w:t>
      </w:r>
      <w:r>
        <w:rPr>
          <w:rFonts w:ascii="Times New Roman" w:hAnsi="Times New Roman" w:cs="Times New Roman"/>
          <w:sz w:val="24"/>
          <w:szCs w:val="24"/>
        </w:rPr>
        <w:t>,</w:t>
      </w:r>
      <w:r w:rsidR="00AA7934">
        <w:rPr>
          <w:rFonts w:ascii="Times New Roman" w:hAnsi="Times New Roman" w:cs="Times New Roman"/>
          <w:sz w:val="24"/>
          <w:szCs w:val="24"/>
        </w:rPr>
        <w:t xml:space="preserve"> </w:t>
      </w:r>
      <w:r w:rsidR="00480FDB">
        <w:rPr>
          <w:rFonts w:ascii="Times New Roman" w:hAnsi="Times New Roman" w:cs="Times New Roman"/>
          <w:sz w:val="24"/>
          <w:szCs w:val="24"/>
        </w:rPr>
        <w:t xml:space="preserve">an average of </w:t>
      </w:r>
      <w:r w:rsidR="003C0F69">
        <w:rPr>
          <w:rFonts w:ascii="Times New Roman" w:hAnsi="Times New Roman" w:cs="Times New Roman"/>
          <w:sz w:val="24"/>
          <w:szCs w:val="24"/>
        </w:rPr>
        <w:t>about</w:t>
      </w:r>
      <w:r w:rsidR="00480FDB">
        <w:rPr>
          <w:rFonts w:ascii="Times New Roman" w:hAnsi="Times New Roman" w:cs="Times New Roman"/>
          <w:sz w:val="24"/>
          <w:szCs w:val="24"/>
        </w:rPr>
        <w:t xml:space="preserve"> </w:t>
      </w:r>
      <w:r w:rsidR="00B45B1E">
        <w:rPr>
          <w:rFonts w:ascii="Times New Roman" w:hAnsi="Times New Roman" w:cs="Times New Roman"/>
          <w:sz w:val="24"/>
          <w:szCs w:val="24"/>
        </w:rPr>
        <w:t xml:space="preserve">$2 billion a year </w:t>
      </w:r>
      <w:r w:rsidR="00480FDB">
        <w:rPr>
          <w:rFonts w:ascii="Times New Roman" w:hAnsi="Times New Roman" w:cs="Times New Roman"/>
          <w:sz w:val="24"/>
          <w:szCs w:val="24"/>
        </w:rPr>
        <w:t>has been</w:t>
      </w:r>
      <w:r w:rsidR="00B45B1E">
        <w:rPr>
          <w:rFonts w:ascii="Times New Roman" w:hAnsi="Times New Roman" w:cs="Times New Roman"/>
          <w:sz w:val="24"/>
          <w:szCs w:val="24"/>
        </w:rPr>
        <w:t xml:space="preserve"> spent on fossil fuels</w:t>
      </w:r>
      <w:r w:rsidR="00480FDB">
        <w:rPr>
          <w:rFonts w:ascii="Times New Roman" w:hAnsi="Times New Roman" w:cs="Times New Roman"/>
          <w:sz w:val="24"/>
          <w:szCs w:val="24"/>
        </w:rPr>
        <w:t xml:space="preserve"> (gasoline, diesel, fuel oil, propane, and natural gas) over the last decade</w:t>
      </w:r>
      <w:r w:rsidR="00B45B1E">
        <w:rPr>
          <w:rFonts w:ascii="Times New Roman" w:hAnsi="Times New Roman" w:cs="Times New Roman"/>
          <w:sz w:val="24"/>
          <w:szCs w:val="24"/>
        </w:rPr>
        <w:t xml:space="preserve">. </w:t>
      </w:r>
      <w:r w:rsidR="00EC4655">
        <w:rPr>
          <w:rFonts w:ascii="Times New Roman" w:hAnsi="Times New Roman" w:cs="Times New Roman"/>
          <w:sz w:val="24"/>
          <w:szCs w:val="24"/>
        </w:rPr>
        <w:t xml:space="preserve">Vermont’s current </w:t>
      </w:r>
      <w:r w:rsidR="00480FDB">
        <w:rPr>
          <w:rFonts w:ascii="Times New Roman" w:hAnsi="Times New Roman" w:cs="Times New Roman"/>
          <w:sz w:val="24"/>
          <w:szCs w:val="24"/>
        </w:rPr>
        <w:t xml:space="preserve">dependence on </w:t>
      </w:r>
      <w:r w:rsidR="00AF4DA3">
        <w:rPr>
          <w:rFonts w:ascii="Times New Roman" w:hAnsi="Times New Roman" w:cs="Times New Roman"/>
          <w:sz w:val="24"/>
          <w:szCs w:val="24"/>
        </w:rPr>
        <w:t xml:space="preserve">fossil fuels </w:t>
      </w:r>
      <w:r w:rsidR="00480FDB">
        <w:rPr>
          <w:rFonts w:ascii="Times New Roman" w:hAnsi="Times New Roman" w:cs="Times New Roman"/>
          <w:sz w:val="24"/>
          <w:szCs w:val="24"/>
        </w:rPr>
        <w:t xml:space="preserve">leads to high and unpredictable energy costs for Vermont households and businesses. As </w:t>
      </w:r>
      <w:r w:rsidR="00F11F03">
        <w:rPr>
          <w:rFonts w:ascii="Times New Roman" w:hAnsi="Times New Roman" w:cs="Times New Roman"/>
          <w:sz w:val="24"/>
          <w:szCs w:val="24"/>
        </w:rPr>
        <w:t>shown in Figure 2</w:t>
      </w:r>
      <w:r w:rsidR="00480FDB">
        <w:rPr>
          <w:rFonts w:ascii="Times New Roman" w:hAnsi="Times New Roman" w:cs="Times New Roman"/>
          <w:sz w:val="24"/>
          <w:szCs w:val="24"/>
        </w:rPr>
        <w:t xml:space="preserve">, </w:t>
      </w:r>
      <w:r w:rsidR="00B6751C">
        <w:rPr>
          <w:rFonts w:ascii="Times New Roman" w:hAnsi="Times New Roman" w:cs="Times New Roman"/>
          <w:sz w:val="24"/>
          <w:szCs w:val="24"/>
        </w:rPr>
        <w:t xml:space="preserve">gasoline and diesel have been much more expensive and price volatile as transportation fuels compared to electricity. Similarly, </w:t>
      </w:r>
      <w:r w:rsidR="00480FDB">
        <w:rPr>
          <w:rFonts w:ascii="Times New Roman" w:hAnsi="Times New Roman" w:cs="Times New Roman"/>
          <w:sz w:val="24"/>
          <w:szCs w:val="24"/>
        </w:rPr>
        <w:t xml:space="preserve">the two most expensive and price volatile primary heating options </w:t>
      </w:r>
      <w:r w:rsidR="00B6751C">
        <w:rPr>
          <w:rFonts w:ascii="Times New Roman" w:hAnsi="Times New Roman" w:cs="Times New Roman"/>
          <w:sz w:val="24"/>
          <w:szCs w:val="24"/>
        </w:rPr>
        <w:t>have long been</w:t>
      </w:r>
      <w:r w:rsidR="00480FDB">
        <w:rPr>
          <w:rFonts w:ascii="Times New Roman" w:hAnsi="Times New Roman" w:cs="Times New Roman"/>
          <w:sz w:val="24"/>
          <w:szCs w:val="24"/>
        </w:rPr>
        <w:t xml:space="preserve"> propane and fuel oil (note: while resistance electric heat is more expensive than propane and fuel oil, Vermont building code does not allow it to be a primary heat source). </w:t>
      </w:r>
      <w:r w:rsidR="00AF4DA3">
        <w:rPr>
          <w:rFonts w:ascii="Times New Roman" w:hAnsi="Times New Roman" w:cs="Times New Roman"/>
          <w:sz w:val="24"/>
          <w:szCs w:val="24"/>
        </w:rPr>
        <w:t>In c</w:t>
      </w:r>
      <w:r w:rsidR="00B6751C">
        <w:rPr>
          <w:rFonts w:ascii="Times New Roman" w:hAnsi="Times New Roman" w:cs="Times New Roman"/>
          <w:sz w:val="24"/>
          <w:szCs w:val="24"/>
        </w:rPr>
        <w:t>omparison</w:t>
      </w:r>
      <w:r w:rsidR="00AF4DA3">
        <w:rPr>
          <w:rFonts w:ascii="Times New Roman" w:hAnsi="Times New Roman" w:cs="Times New Roman"/>
          <w:sz w:val="24"/>
          <w:szCs w:val="24"/>
        </w:rPr>
        <w:t xml:space="preserve">, heating with cold climate heat pumps and/or wood generally </w:t>
      </w:r>
      <w:r w:rsidR="001D375F">
        <w:rPr>
          <w:rFonts w:ascii="Times New Roman" w:hAnsi="Times New Roman" w:cs="Times New Roman"/>
          <w:sz w:val="24"/>
          <w:szCs w:val="24"/>
        </w:rPr>
        <w:t xml:space="preserve">provides </w:t>
      </w:r>
      <w:r w:rsidR="00AF4DA3">
        <w:rPr>
          <w:rFonts w:ascii="Times New Roman" w:hAnsi="Times New Roman" w:cs="Times New Roman"/>
          <w:sz w:val="24"/>
          <w:szCs w:val="24"/>
        </w:rPr>
        <w:t xml:space="preserve">lower </w:t>
      </w:r>
      <w:r w:rsidR="001D375F">
        <w:rPr>
          <w:rFonts w:ascii="Times New Roman" w:hAnsi="Times New Roman" w:cs="Times New Roman"/>
          <w:sz w:val="24"/>
          <w:szCs w:val="24"/>
        </w:rPr>
        <w:t xml:space="preserve">operating </w:t>
      </w:r>
      <w:r w:rsidR="00AF4DA3">
        <w:rPr>
          <w:rFonts w:ascii="Times New Roman" w:hAnsi="Times New Roman" w:cs="Times New Roman"/>
          <w:sz w:val="24"/>
          <w:szCs w:val="24"/>
        </w:rPr>
        <w:t>cost</w:t>
      </w:r>
      <w:r w:rsidR="001D375F">
        <w:rPr>
          <w:rFonts w:ascii="Times New Roman" w:hAnsi="Times New Roman" w:cs="Times New Roman"/>
          <w:sz w:val="24"/>
          <w:szCs w:val="24"/>
        </w:rPr>
        <w:t>s</w:t>
      </w:r>
      <w:r w:rsidR="00AF4DA3">
        <w:rPr>
          <w:rFonts w:ascii="Times New Roman" w:hAnsi="Times New Roman" w:cs="Times New Roman"/>
          <w:sz w:val="24"/>
          <w:szCs w:val="24"/>
        </w:rPr>
        <w:t xml:space="preserve">, with </w:t>
      </w:r>
      <w:r w:rsidR="00AA7934">
        <w:rPr>
          <w:rFonts w:ascii="Times New Roman" w:hAnsi="Times New Roman" w:cs="Times New Roman"/>
          <w:sz w:val="24"/>
          <w:szCs w:val="24"/>
        </w:rPr>
        <w:t>greater</w:t>
      </w:r>
      <w:r w:rsidR="00AF4DA3">
        <w:rPr>
          <w:rFonts w:ascii="Times New Roman" w:hAnsi="Times New Roman" w:cs="Times New Roman"/>
          <w:sz w:val="24"/>
          <w:szCs w:val="24"/>
        </w:rPr>
        <w:t xml:space="preserve"> price stability. </w:t>
      </w:r>
    </w:p>
    <w:p w14:paraId="5BCD7D94" w14:textId="77777777" w:rsidR="00B6751C" w:rsidRDefault="00B6751C" w:rsidP="00481A1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2: </w:t>
      </w:r>
      <w:r w:rsidRPr="00D25885">
        <w:rPr>
          <w:rFonts w:ascii="Times New Roman" w:hAnsi="Times New Roman" w:cs="Times New Roman"/>
          <w:sz w:val="24"/>
          <w:szCs w:val="24"/>
          <w:u w:val="single"/>
        </w:rPr>
        <w:t>Cost Comparison of Different Transportation Fuels Over Time</w:t>
      </w:r>
    </w:p>
    <w:p w14:paraId="00F529A3" w14:textId="1C9CEBFC" w:rsidR="00B6751C" w:rsidRDefault="00840D39" w:rsidP="00481A17">
      <w:pPr>
        <w:spacing w:line="360" w:lineRule="auto"/>
        <w:rPr>
          <w:rFonts w:ascii="Times New Roman" w:hAnsi="Times New Roman" w:cs="Times New Roman"/>
          <w:sz w:val="24"/>
          <w:szCs w:val="24"/>
        </w:rPr>
      </w:pPr>
      <w:r w:rsidRPr="00840D39">
        <w:rPr>
          <w:noProof/>
        </w:rPr>
        <w:t xml:space="preserve"> </w:t>
      </w:r>
      <w:r w:rsidRPr="00840D39">
        <w:rPr>
          <w:rFonts w:ascii="Times New Roman" w:hAnsi="Times New Roman" w:cs="Times New Roman"/>
          <w:noProof/>
          <w:sz w:val="24"/>
          <w:szCs w:val="24"/>
        </w:rPr>
        <w:drawing>
          <wp:inline distT="0" distB="0" distL="0" distR="0" wp14:anchorId="76EF707C" wp14:editId="568A67B3">
            <wp:extent cx="4998092" cy="2228850"/>
            <wp:effectExtent l="0" t="0" r="571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009455" cy="2233917"/>
                    </a:xfrm>
                    <a:prstGeom prst="rect">
                      <a:avLst/>
                    </a:prstGeom>
                  </pic:spPr>
                </pic:pic>
              </a:graphicData>
            </a:graphic>
          </wp:inline>
        </w:drawing>
      </w:r>
    </w:p>
    <w:p w14:paraId="578E6851" w14:textId="2DA96DEE" w:rsidR="00480FDB" w:rsidRPr="00D25885" w:rsidRDefault="00F11F03" w:rsidP="00481A17">
      <w:pPr>
        <w:spacing w:line="360" w:lineRule="auto"/>
        <w:rPr>
          <w:rFonts w:ascii="Times New Roman" w:hAnsi="Times New Roman" w:cs="Times New Roman"/>
          <w:sz w:val="24"/>
          <w:szCs w:val="24"/>
          <w:u w:val="single"/>
        </w:rPr>
      </w:pPr>
      <w:r>
        <w:rPr>
          <w:rFonts w:ascii="Times New Roman" w:hAnsi="Times New Roman" w:cs="Times New Roman"/>
          <w:sz w:val="24"/>
          <w:szCs w:val="24"/>
        </w:rPr>
        <w:t>Figur</w:t>
      </w:r>
      <w:r w:rsidR="00480FDB">
        <w:rPr>
          <w:rFonts w:ascii="Times New Roman" w:hAnsi="Times New Roman" w:cs="Times New Roman"/>
          <w:sz w:val="24"/>
          <w:szCs w:val="24"/>
        </w:rPr>
        <w:t xml:space="preserve">e </w:t>
      </w:r>
      <w:r w:rsidR="00B6751C">
        <w:rPr>
          <w:rFonts w:ascii="Times New Roman" w:hAnsi="Times New Roman" w:cs="Times New Roman"/>
          <w:sz w:val="24"/>
          <w:szCs w:val="24"/>
        </w:rPr>
        <w:t>3</w:t>
      </w:r>
      <w:r w:rsidR="00480FDB">
        <w:rPr>
          <w:rFonts w:ascii="Times New Roman" w:hAnsi="Times New Roman" w:cs="Times New Roman"/>
          <w:sz w:val="24"/>
          <w:szCs w:val="24"/>
        </w:rPr>
        <w:t xml:space="preserve">. </w:t>
      </w:r>
      <w:r w:rsidR="00480FDB" w:rsidRPr="00D25885">
        <w:rPr>
          <w:rFonts w:ascii="Times New Roman" w:hAnsi="Times New Roman" w:cs="Times New Roman"/>
          <w:sz w:val="24"/>
          <w:szCs w:val="24"/>
          <w:u w:val="single"/>
        </w:rPr>
        <w:t>Cost Comparison of Different Heating Fuel Options Over Time</w:t>
      </w:r>
    </w:p>
    <w:p w14:paraId="2FC10C77" w14:textId="740D4652" w:rsidR="00480FDB" w:rsidRDefault="007B3170" w:rsidP="00481A17">
      <w:pPr>
        <w:spacing w:after="0" w:line="360" w:lineRule="auto"/>
        <w:rPr>
          <w:rFonts w:ascii="Times New Roman" w:eastAsia="Times New Roman" w:hAnsi="Times New Roman" w:cs="Times New Roman"/>
          <w:sz w:val="24"/>
          <w:szCs w:val="24"/>
        </w:rPr>
      </w:pPr>
      <w:r w:rsidRPr="00480FDB">
        <w:rPr>
          <w:rFonts w:ascii="Times New Roman" w:eastAsia="Times New Roman" w:hAnsi="Times New Roman" w:cs="Times New Roman"/>
          <w:sz w:val="24"/>
          <w:szCs w:val="24"/>
        </w:rPr>
        <w:fldChar w:fldCharType="begin"/>
      </w:r>
      <w:r w:rsidRPr="00480FDB">
        <w:rPr>
          <w:rFonts w:ascii="Times New Roman" w:eastAsia="Times New Roman" w:hAnsi="Times New Roman" w:cs="Times New Roman"/>
          <w:sz w:val="24"/>
          <w:szCs w:val="24"/>
        </w:rPr>
        <w:instrText xml:space="preserve"> INCLUDEPICTURE "https://www.eanvt.org/wp-content/uploads/2021/06/Th-heatingcostovertime.png" \* MERGEFORMATINET </w:instrText>
      </w:r>
      <w:r w:rsidRPr="00480FDB">
        <w:rPr>
          <w:rFonts w:ascii="Times New Roman" w:eastAsia="Times New Roman" w:hAnsi="Times New Roman" w:cs="Times New Roman"/>
          <w:sz w:val="24"/>
          <w:szCs w:val="24"/>
        </w:rPr>
        <w:fldChar w:fldCharType="separate"/>
      </w:r>
      <w:r w:rsidRPr="00480FDB">
        <w:rPr>
          <w:rFonts w:ascii="Times New Roman" w:eastAsia="Times New Roman" w:hAnsi="Times New Roman" w:cs="Times New Roman"/>
          <w:noProof/>
          <w:sz w:val="24"/>
          <w:szCs w:val="24"/>
        </w:rPr>
        <w:drawing>
          <wp:inline distT="0" distB="0" distL="0" distR="0" wp14:anchorId="3C4FA868" wp14:editId="61EAFDF1">
            <wp:extent cx="4969510" cy="2832512"/>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80572" cy="2838817"/>
                    </a:xfrm>
                    <a:prstGeom prst="rect">
                      <a:avLst/>
                    </a:prstGeom>
                    <a:noFill/>
                    <a:ln>
                      <a:noFill/>
                    </a:ln>
                  </pic:spPr>
                </pic:pic>
              </a:graphicData>
            </a:graphic>
          </wp:inline>
        </w:drawing>
      </w:r>
      <w:r w:rsidRPr="00480FDB">
        <w:rPr>
          <w:rFonts w:ascii="Times New Roman" w:eastAsia="Times New Roman" w:hAnsi="Times New Roman" w:cs="Times New Roman"/>
          <w:sz w:val="24"/>
          <w:szCs w:val="24"/>
        </w:rPr>
        <w:fldChar w:fldCharType="end"/>
      </w:r>
    </w:p>
    <w:p w14:paraId="0F5B8813" w14:textId="17B53176" w:rsidR="00EC4655" w:rsidRDefault="00EC4655" w:rsidP="00481A17">
      <w:pPr>
        <w:spacing w:line="360" w:lineRule="auto"/>
        <w:rPr>
          <w:rFonts w:ascii="Times New Roman" w:hAnsi="Times New Roman" w:cs="Times New Roman"/>
          <w:sz w:val="24"/>
          <w:szCs w:val="24"/>
        </w:rPr>
      </w:pPr>
      <w:r>
        <w:rPr>
          <w:rFonts w:ascii="Times New Roman" w:hAnsi="Times New Roman" w:cs="Times New Roman"/>
          <w:sz w:val="24"/>
          <w:szCs w:val="24"/>
        </w:rPr>
        <w:t xml:space="preserve">Not only </w:t>
      </w:r>
      <w:r w:rsidR="00AA7934">
        <w:rPr>
          <w:rFonts w:ascii="Times New Roman" w:hAnsi="Times New Roman" w:cs="Times New Roman"/>
          <w:sz w:val="24"/>
          <w:szCs w:val="24"/>
        </w:rPr>
        <w:t xml:space="preserve">do fossil fuel expenses </w:t>
      </w:r>
      <w:r>
        <w:rPr>
          <w:rFonts w:ascii="Times New Roman" w:hAnsi="Times New Roman" w:cs="Times New Roman"/>
          <w:sz w:val="24"/>
          <w:szCs w:val="24"/>
        </w:rPr>
        <w:t xml:space="preserve">represent a </w:t>
      </w:r>
      <w:r w:rsidR="00244D1D">
        <w:rPr>
          <w:rFonts w:ascii="Times New Roman" w:hAnsi="Times New Roman" w:cs="Times New Roman"/>
          <w:sz w:val="24"/>
          <w:szCs w:val="24"/>
        </w:rPr>
        <w:t xml:space="preserve">cost </w:t>
      </w:r>
      <w:r>
        <w:rPr>
          <w:rFonts w:ascii="Times New Roman" w:hAnsi="Times New Roman" w:cs="Times New Roman"/>
          <w:sz w:val="24"/>
          <w:szCs w:val="24"/>
        </w:rPr>
        <w:t>burden on Vermont consumers</w:t>
      </w:r>
      <w:r w:rsidR="00AA7934">
        <w:rPr>
          <w:rFonts w:ascii="Times New Roman" w:hAnsi="Times New Roman" w:cs="Times New Roman"/>
          <w:sz w:val="24"/>
          <w:szCs w:val="24"/>
        </w:rPr>
        <w:t>:</w:t>
      </w:r>
      <w:r>
        <w:rPr>
          <w:rFonts w:ascii="Times New Roman" w:hAnsi="Times New Roman" w:cs="Times New Roman"/>
          <w:sz w:val="24"/>
          <w:szCs w:val="24"/>
        </w:rPr>
        <w:t xml:space="preserve"> they also generally create a drain on the Vermont economy. </w:t>
      </w:r>
      <w:r w:rsidR="00953D3C">
        <w:rPr>
          <w:rFonts w:ascii="Times New Roman" w:hAnsi="Times New Roman" w:cs="Times New Roman"/>
          <w:sz w:val="24"/>
          <w:szCs w:val="24"/>
        </w:rPr>
        <w:t xml:space="preserve">100% of fossil </w:t>
      </w:r>
      <w:r>
        <w:rPr>
          <w:rFonts w:ascii="Times New Roman" w:hAnsi="Times New Roman" w:cs="Times New Roman"/>
          <w:sz w:val="24"/>
          <w:szCs w:val="24"/>
        </w:rPr>
        <w:t xml:space="preserve">fuels </w:t>
      </w:r>
      <w:r w:rsidR="00953D3C">
        <w:rPr>
          <w:rFonts w:ascii="Times New Roman" w:hAnsi="Times New Roman" w:cs="Times New Roman"/>
          <w:sz w:val="24"/>
          <w:szCs w:val="24"/>
        </w:rPr>
        <w:t xml:space="preserve">used in Vermont </w:t>
      </w:r>
      <w:r>
        <w:rPr>
          <w:rFonts w:ascii="Times New Roman" w:hAnsi="Times New Roman" w:cs="Times New Roman"/>
          <w:sz w:val="24"/>
          <w:szCs w:val="24"/>
        </w:rPr>
        <w:t xml:space="preserve">are imported. As commodities that have a relatively small amount of in-state labor represented in their overall price, much of the total amount Vermonters expend on fossil fuels </w:t>
      </w:r>
      <w:r w:rsidR="001C2539">
        <w:rPr>
          <w:rFonts w:ascii="Times New Roman" w:hAnsi="Times New Roman" w:cs="Times New Roman"/>
          <w:sz w:val="24"/>
          <w:szCs w:val="24"/>
        </w:rPr>
        <w:t xml:space="preserve">(especially fuel oil, gasoline, and diesel) </w:t>
      </w:r>
      <w:r w:rsidR="00F447AC">
        <w:rPr>
          <w:rFonts w:ascii="Times New Roman" w:hAnsi="Times New Roman" w:cs="Times New Roman"/>
          <w:sz w:val="24"/>
          <w:szCs w:val="24"/>
        </w:rPr>
        <w:t xml:space="preserve">represents an outflow of dollars, with comparatively </w:t>
      </w:r>
      <w:r>
        <w:rPr>
          <w:rFonts w:ascii="Times New Roman" w:hAnsi="Times New Roman" w:cs="Times New Roman"/>
          <w:sz w:val="24"/>
          <w:szCs w:val="24"/>
        </w:rPr>
        <w:t xml:space="preserve">little value to the State economy in terms of </w:t>
      </w:r>
      <w:r w:rsidR="00F447AC">
        <w:rPr>
          <w:rFonts w:ascii="Times New Roman" w:hAnsi="Times New Roman" w:cs="Times New Roman"/>
          <w:sz w:val="24"/>
          <w:szCs w:val="24"/>
        </w:rPr>
        <w:t>local economic activity</w:t>
      </w:r>
      <w:r>
        <w:rPr>
          <w:rFonts w:ascii="Times New Roman" w:hAnsi="Times New Roman" w:cs="Times New Roman"/>
          <w:sz w:val="24"/>
          <w:szCs w:val="24"/>
        </w:rPr>
        <w:t xml:space="preserve">. </w:t>
      </w:r>
      <w:r w:rsidR="00F447AC">
        <w:rPr>
          <w:rFonts w:ascii="Times New Roman" w:hAnsi="Times New Roman" w:cs="Times New Roman"/>
          <w:sz w:val="24"/>
          <w:szCs w:val="24"/>
        </w:rPr>
        <w:t xml:space="preserve">In contrast, energy-related expenditures like weatherization, electricity purchases, and wood heating contribute more, per dollar spent, to local economic activity and Vermont-based jobs. </w:t>
      </w:r>
    </w:p>
    <w:p w14:paraId="76E906C5" w14:textId="34B4BE0C" w:rsidR="00F447AC" w:rsidRPr="007B3170" w:rsidRDefault="00F11F03" w:rsidP="00481A1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Figure</w:t>
      </w:r>
      <w:r w:rsidR="00F447AC" w:rsidRPr="007B3170">
        <w:rPr>
          <w:rFonts w:ascii="Times New Roman" w:hAnsi="Times New Roman" w:cs="Times New Roman"/>
          <w:sz w:val="24"/>
          <w:szCs w:val="24"/>
        </w:rPr>
        <w:t xml:space="preserve"> 4: </w:t>
      </w:r>
      <w:r w:rsidR="007B3170" w:rsidRPr="00D25885">
        <w:rPr>
          <w:rFonts w:ascii="Times New Roman" w:hAnsi="Times New Roman" w:cs="Times New Roman"/>
          <w:sz w:val="24"/>
          <w:szCs w:val="24"/>
          <w:u w:val="single"/>
        </w:rPr>
        <w:t>Local Economic Activity Related to Different Energy Sources</w:t>
      </w:r>
      <w:r w:rsidR="00132DE9" w:rsidRPr="00D25885">
        <w:rPr>
          <w:rFonts w:ascii="Times New Roman" w:hAnsi="Times New Roman" w:cs="Times New Roman"/>
          <w:sz w:val="24"/>
          <w:szCs w:val="24"/>
          <w:u w:val="single"/>
        </w:rPr>
        <w:t xml:space="preserve"> in 2018</w:t>
      </w:r>
    </w:p>
    <w:tbl>
      <w:tblPr>
        <w:tblStyle w:val="TableGrid"/>
        <w:tblW w:w="0" w:type="auto"/>
        <w:tblLook w:val="04A0" w:firstRow="1" w:lastRow="0" w:firstColumn="1" w:lastColumn="0" w:noHBand="0" w:noVBand="1"/>
      </w:tblPr>
      <w:tblGrid>
        <w:gridCol w:w="1542"/>
        <w:gridCol w:w="1532"/>
        <w:gridCol w:w="1543"/>
        <w:gridCol w:w="1543"/>
        <w:gridCol w:w="1555"/>
        <w:gridCol w:w="1635"/>
      </w:tblGrid>
      <w:tr w:rsidR="00F447AC" w:rsidRPr="007B3170" w14:paraId="7424F0BA" w14:textId="77777777" w:rsidTr="00432407">
        <w:tc>
          <w:tcPr>
            <w:tcW w:w="1542" w:type="dxa"/>
          </w:tcPr>
          <w:p w14:paraId="36FAAD98" w14:textId="77777777" w:rsidR="00F447AC" w:rsidRPr="007B3170" w:rsidRDefault="00F447AC" w:rsidP="00481A17">
            <w:pPr>
              <w:rPr>
                <w:rFonts w:ascii="Times New Roman" w:hAnsi="Times New Roman" w:cs="Times New Roman"/>
                <w:sz w:val="24"/>
                <w:szCs w:val="24"/>
              </w:rPr>
            </w:pPr>
          </w:p>
        </w:tc>
        <w:tc>
          <w:tcPr>
            <w:tcW w:w="1532" w:type="dxa"/>
          </w:tcPr>
          <w:p w14:paraId="49E26E4B" w14:textId="7A1C1E68"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Total sales (2018)</w:t>
            </w:r>
            <w:r w:rsidR="0011370B">
              <w:rPr>
                <w:rStyle w:val="FootnoteReference"/>
                <w:rFonts w:ascii="Times New Roman" w:hAnsi="Times New Roman" w:cs="Times New Roman"/>
                <w:sz w:val="24"/>
                <w:szCs w:val="24"/>
              </w:rPr>
              <w:footnoteReference w:id="2"/>
            </w:r>
            <w:r w:rsidRPr="007B3170">
              <w:rPr>
                <w:rFonts w:ascii="Times New Roman" w:hAnsi="Times New Roman" w:cs="Times New Roman"/>
                <w:sz w:val="24"/>
                <w:szCs w:val="24"/>
              </w:rPr>
              <w:t xml:space="preserve"> </w:t>
            </w:r>
          </w:p>
        </w:tc>
        <w:tc>
          <w:tcPr>
            <w:tcW w:w="1543" w:type="dxa"/>
          </w:tcPr>
          <w:p w14:paraId="0EAE176E"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Percent of retail price with local economic activity</w:t>
            </w:r>
            <w:r w:rsidRPr="007B3170">
              <w:rPr>
                <w:rStyle w:val="FootnoteReference"/>
                <w:rFonts w:ascii="Times New Roman" w:hAnsi="Times New Roman" w:cs="Times New Roman"/>
                <w:sz w:val="24"/>
                <w:szCs w:val="24"/>
              </w:rPr>
              <w:footnoteReference w:id="3"/>
            </w:r>
          </w:p>
        </w:tc>
        <w:tc>
          <w:tcPr>
            <w:tcW w:w="1543" w:type="dxa"/>
          </w:tcPr>
          <w:p w14:paraId="47C584D1"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Vermont economic activity</w:t>
            </w:r>
          </w:p>
        </w:tc>
        <w:tc>
          <w:tcPr>
            <w:tcW w:w="1555" w:type="dxa"/>
          </w:tcPr>
          <w:p w14:paraId="7F85260E"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Employment estimate</w:t>
            </w:r>
            <w:r w:rsidRPr="007B3170">
              <w:rPr>
                <w:rStyle w:val="FootnoteReference"/>
                <w:rFonts w:ascii="Times New Roman" w:hAnsi="Times New Roman" w:cs="Times New Roman"/>
                <w:sz w:val="24"/>
                <w:szCs w:val="24"/>
              </w:rPr>
              <w:footnoteReference w:id="4"/>
            </w:r>
          </w:p>
        </w:tc>
        <w:tc>
          <w:tcPr>
            <w:tcW w:w="1635" w:type="dxa"/>
          </w:tcPr>
          <w:p w14:paraId="3211E903"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Vermont compensation estimate</w:t>
            </w:r>
          </w:p>
        </w:tc>
      </w:tr>
      <w:tr w:rsidR="00F447AC" w:rsidRPr="007B3170" w14:paraId="3C722EF9" w14:textId="77777777" w:rsidTr="00432407">
        <w:tc>
          <w:tcPr>
            <w:tcW w:w="1542" w:type="dxa"/>
          </w:tcPr>
          <w:p w14:paraId="48340B34"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Fuel oil</w:t>
            </w:r>
          </w:p>
        </w:tc>
        <w:tc>
          <w:tcPr>
            <w:tcW w:w="1532" w:type="dxa"/>
          </w:tcPr>
          <w:p w14:paraId="0F9E98A5"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$340 million</w:t>
            </w:r>
          </w:p>
        </w:tc>
        <w:tc>
          <w:tcPr>
            <w:tcW w:w="1543" w:type="dxa"/>
          </w:tcPr>
          <w:p w14:paraId="5252A1BF"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25%</w:t>
            </w:r>
          </w:p>
        </w:tc>
        <w:tc>
          <w:tcPr>
            <w:tcW w:w="1543" w:type="dxa"/>
          </w:tcPr>
          <w:p w14:paraId="4713F1E1"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$85 million</w:t>
            </w:r>
          </w:p>
        </w:tc>
        <w:tc>
          <w:tcPr>
            <w:tcW w:w="1555" w:type="dxa"/>
            <w:vMerge w:val="restart"/>
            <w:vAlign w:val="center"/>
          </w:tcPr>
          <w:p w14:paraId="6333283E"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1,400</w:t>
            </w:r>
            <w:r w:rsidRPr="007B3170">
              <w:rPr>
                <w:rStyle w:val="FootnoteReference"/>
                <w:rFonts w:ascii="Times New Roman" w:hAnsi="Times New Roman" w:cs="Times New Roman"/>
                <w:sz w:val="24"/>
                <w:szCs w:val="24"/>
              </w:rPr>
              <w:footnoteReference w:id="5"/>
            </w:r>
          </w:p>
        </w:tc>
        <w:tc>
          <w:tcPr>
            <w:tcW w:w="1635" w:type="dxa"/>
            <w:vMerge w:val="restart"/>
            <w:vAlign w:val="center"/>
          </w:tcPr>
          <w:p w14:paraId="3C9BB4C1"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$85 million</w:t>
            </w:r>
          </w:p>
        </w:tc>
      </w:tr>
      <w:tr w:rsidR="00F447AC" w:rsidRPr="007B3170" w14:paraId="7BCB28B3" w14:textId="77777777" w:rsidTr="00432407">
        <w:tc>
          <w:tcPr>
            <w:tcW w:w="1542" w:type="dxa"/>
          </w:tcPr>
          <w:p w14:paraId="0380DEA7"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Propane</w:t>
            </w:r>
            <w:r w:rsidRPr="00481A17">
              <w:rPr>
                <w:rStyle w:val="FootnoteReference"/>
                <w:rFonts w:ascii="Times New Roman" w:hAnsi="Times New Roman" w:cs="Times New Roman"/>
                <w:b/>
                <w:bCs/>
                <w:sz w:val="24"/>
                <w:szCs w:val="24"/>
              </w:rPr>
              <w:footnoteReference w:id="6"/>
            </w:r>
          </w:p>
        </w:tc>
        <w:tc>
          <w:tcPr>
            <w:tcW w:w="1532" w:type="dxa"/>
          </w:tcPr>
          <w:p w14:paraId="01EA5821"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$310 million</w:t>
            </w:r>
          </w:p>
        </w:tc>
        <w:tc>
          <w:tcPr>
            <w:tcW w:w="1543" w:type="dxa"/>
          </w:tcPr>
          <w:p w14:paraId="1643AAF4"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45%</w:t>
            </w:r>
          </w:p>
        </w:tc>
        <w:tc>
          <w:tcPr>
            <w:tcW w:w="1543" w:type="dxa"/>
          </w:tcPr>
          <w:p w14:paraId="3D0218A0"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$140 million</w:t>
            </w:r>
          </w:p>
        </w:tc>
        <w:tc>
          <w:tcPr>
            <w:tcW w:w="1555" w:type="dxa"/>
            <w:vMerge/>
          </w:tcPr>
          <w:p w14:paraId="147795A2" w14:textId="77777777" w:rsidR="00F447AC" w:rsidRPr="007B3170" w:rsidRDefault="00F447AC" w:rsidP="00481A17">
            <w:pPr>
              <w:rPr>
                <w:rFonts w:ascii="Times New Roman" w:hAnsi="Times New Roman" w:cs="Times New Roman"/>
                <w:sz w:val="24"/>
                <w:szCs w:val="24"/>
              </w:rPr>
            </w:pPr>
          </w:p>
        </w:tc>
        <w:tc>
          <w:tcPr>
            <w:tcW w:w="1635" w:type="dxa"/>
            <w:vMerge/>
          </w:tcPr>
          <w:p w14:paraId="4AB423B8" w14:textId="77777777" w:rsidR="00F447AC" w:rsidRPr="007B3170" w:rsidRDefault="00F447AC" w:rsidP="00481A17">
            <w:pPr>
              <w:jc w:val="center"/>
              <w:rPr>
                <w:rFonts w:ascii="Times New Roman" w:hAnsi="Times New Roman" w:cs="Times New Roman"/>
                <w:sz w:val="24"/>
                <w:szCs w:val="24"/>
              </w:rPr>
            </w:pPr>
          </w:p>
        </w:tc>
      </w:tr>
      <w:tr w:rsidR="00F447AC" w:rsidRPr="007B3170" w14:paraId="6BE40A67" w14:textId="77777777" w:rsidTr="00432407">
        <w:tc>
          <w:tcPr>
            <w:tcW w:w="1542" w:type="dxa"/>
          </w:tcPr>
          <w:p w14:paraId="3BE55995"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Natural Gas</w:t>
            </w:r>
          </w:p>
        </w:tc>
        <w:tc>
          <w:tcPr>
            <w:tcW w:w="1532" w:type="dxa"/>
          </w:tcPr>
          <w:p w14:paraId="68AA7B06"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$115 million</w:t>
            </w:r>
          </w:p>
        </w:tc>
        <w:tc>
          <w:tcPr>
            <w:tcW w:w="1543" w:type="dxa"/>
          </w:tcPr>
          <w:p w14:paraId="6F3E8379"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50%</w:t>
            </w:r>
          </w:p>
        </w:tc>
        <w:tc>
          <w:tcPr>
            <w:tcW w:w="1543" w:type="dxa"/>
          </w:tcPr>
          <w:p w14:paraId="4C46A12F"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$60 million</w:t>
            </w:r>
          </w:p>
        </w:tc>
        <w:tc>
          <w:tcPr>
            <w:tcW w:w="1555" w:type="dxa"/>
          </w:tcPr>
          <w:p w14:paraId="4CA25506"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135</w:t>
            </w:r>
          </w:p>
        </w:tc>
        <w:tc>
          <w:tcPr>
            <w:tcW w:w="1635" w:type="dxa"/>
          </w:tcPr>
          <w:p w14:paraId="0AA4B5ED"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$15 million</w:t>
            </w:r>
          </w:p>
        </w:tc>
      </w:tr>
      <w:tr w:rsidR="00F447AC" w:rsidRPr="007B3170" w14:paraId="2A6BB22A" w14:textId="77777777" w:rsidTr="00432407">
        <w:tc>
          <w:tcPr>
            <w:tcW w:w="1542" w:type="dxa"/>
          </w:tcPr>
          <w:p w14:paraId="2670124C"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Electricity</w:t>
            </w:r>
          </w:p>
        </w:tc>
        <w:tc>
          <w:tcPr>
            <w:tcW w:w="1532" w:type="dxa"/>
          </w:tcPr>
          <w:p w14:paraId="347AB145"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$737 million</w:t>
            </w:r>
          </w:p>
        </w:tc>
        <w:tc>
          <w:tcPr>
            <w:tcW w:w="1543" w:type="dxa"/>
          </w:tcPr>
          <w:p w14:paraId="61EF7EBA"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50%</w:t>
            </w:r>
          </w:p>
        </w:tc>
        <w:tc>
          <w:tcPr>
            <w:tcW w:w="1543" w:type="dxa"/>
          </w:tcPr>
          <w:p w14:paraId="3BDD9D88"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$370 million</w:t>
            </w:r>
          </w:p>
        </w:tc>
        <w:tc>
          <w:tcPr>
            <w:tcW w:w="1555" w:type="dxa"/>
          </w:tcPr>
          <w:p w14:paraId="3FF13CD4"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1,250</w:t>
            </w:r>
          </w:p>
        </w:tc>
        <w:tc>
          <w:tcPr>
            <w:tcW w:w="1635" w:type="dxa"/>
          </w:tcPr>
          <w:p w14:paraId="24B7635D"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$140 million</w:t>
            </w:r>
          </w:p>
        </w:tc>
      </w:tr>
      <w:tr w:rsidR="00F447AC" w:rsidRPr="007B3170" w14:paraId="6702F6DB" w14:textId="77777777" w:rsidTr="00432407">
        <w:tc>
          <w:tcPr>
            <w:tcW w:w="1542" w:type="dxa"/>
          </w:tcPr>
          <w:p w14:paraId="009EC4C3"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Wood for thermal</w:t>
            </w:r>
          </w:p>
        </w:tc>
        <w:tc>
          <w:tcPr>
            <w:tcW w:w="1532" w:type="dxa"/>
          </w:tcPr>
          <w:p w14:paraId="65EF1599"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$65 million</w:t>
            </w:r>
          </w:p>
        </w:tc>
        <w:tc>
          <w:tcPr>
            <w:tcW w:w="1543" w:type="dxa"/>
          </w:tcPr>
          <w:p w14:paraId="201C8798"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90%</w:t>
            </w:r>
          </w:p>
        </w:tc>
        <w:tc>
          <w:tcPr>
            <w:tcW w:w="1543" w:type="dxa"/>
          </w:tcPr>
          <w:p w14:paraId="018A9E93"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$60 million</w:t>
            </w:r>
          </w:p>
        </w:tc>
        <w:tc>
          <w:tcPr>
            <w:tcW w:w="1555" w:type="dxa"/>
            <w:vMerge w:val="restart"/>
            <w:vAlign w:val="center"/>
          </w:tcPr>
          <w:p w14:paraId="3DF22466"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1,200</w:t>
            </w:r>
            <w:r w:rsidRPr="007B3170">
              <w:rPr>
                <w:rStyle w:val="FootnoteReference"/>
                <w:rFonts w:ascii="Times New Roman" w:hAnsi="Times New Roman" w:cs="Times New Roman"/>
                <w:sz w:val="24"/>
                <w:szCs w:val="24"/>
              </w:rPr>
              <w:footnoteReference w:id="7"/>
            </w:r>
          </w:p>
        </w:tc>
        <w:tc>
          <w:tcPr>
            <w:tcW w:w="1635" w:type="dxa"/>
            <w:vMerge w:val="restart"/>
            <w:vAlign w:val="center"/>
          </w:tcPr>
          <w:p w14:paraId="0D6B4356"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$60 million</w:t>
            </w:r>
          </w:p>
        </w:tc>
      </w:tr>
      <w:tr w:rsidR="00F447AC" w:rsidRPr="007B3170" w14:paraId="54A2B57C" w14:textId="77777777" w:rsidTr="00432407">
        <w:tc>
          <w:tcPr>
            <w:tcW w:w="1542" w:type="dxa"/>
          </w:tcPr>
          <w:p w14:paraId="77C52DBC" w14:textId="74FCF74F"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Wood for electric</w:t>
            </w:r>
          </w:p>
        </w:tc>
        <w:tc>
          <w:tcPr>
            <w:tcW w:w="1532" w:type="dxa"/>
          </w:tcPr>
          <w:p w14:paraId="62788100"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$25 million</w:t>
            </w:r>
          </w:p>
        </w:tc>
        <w:tc>
          <w:tcPr>
            <w:tcW w:w="1543" w:type="dxa"/>
          </w:tcPr>
          <w:p w14:paraId="43F9D902"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80%</w:t>
            </w:r>
          </w:p>
        </w:tc>
        <w:tc>
          <w:tcPr>
            <w:tcW w:w="1543" w:type="dxa"/>
          </w:tcPr>
          <w:p w14:paraId="6306ECCE"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$20 million</w:t>
            </w:r>
          </w:p>
        </w:tc>
        <w:tc>
          <w:tcPr>
            <w:tcW w:w="1555" w:type="dxa"/>
            <w:vMerge/>
          </w:tcPr>
          <w:p w14:paraId="1BB774D4" w14:textId="77777777" w:rsidR="00F447AC" w:rsidRPr="007B3170" w:rsidRDefault="00F447AC" w:rsidP="00481A17">
            <w:pPr>
              <w:rPr>
                <w:rFonts w:ascii="Times New Roman" w:hAnsi="Times New Roman" w:cs="Times New Roman"/>
                <w:sz w:val="24"/>
                <w:szCs w:val="24"/>
              </w:rPr>
            </w:pPr>
          </w:p>
        </w:tc>
        <w:tc>
          <w:tcPr>
            <w:tcW w:w="1635" w:type="dxa"/>
            <w:vMerge/>
          </w:tcPr>
          <w:p w14:paraId="6809A242" w14:textId="77777777" w:rsidR="00F447AC" w:rsidRPr="007B3170" w:rsidRDefault="00F447AC" w:rsidP="00481A17">
            <w:pPr>
              <w:jc w:val="center"/>
              <w:rPr>
                <w:rFonts w:ascii="Times New Roman" w:hAnsi="Times New Roman" w:cs="Times New Roman"/>
                <w:sz w:val="24"/>
                <w:szCs w:val="24"/>
              </w:rPr>
            </w:pPr>
          </w:p>
        </w:tc>
      </w:tr>
      <w:tr w:rsidR="00F447AC" w:rsidRPr="007B3170" w14:paraId="6E7B8D1F" w14:textId="77777777" w:rsidTr="00432407">
        <w:tc>
          <w:tcPr>
            <w:tcW w:w="1542" w:type="dxa"/>
          </w:tcPr>
          <w:p w14:paraId="01194B64" w14:textId="77777777" w:rsidR="00F447AC" w:rsidRPr="00481A17" w:rsidRDefault="00F447AC" w:rsidP="00481A17">
            <w:pPr>
              <w:rPr>
                <w:rFonts w:ascii="Times New Roman" w:hAnsi="Times New Roman" w:cs="Times New Roman"/>
                <w:b/>
                <w:bCs/>
                <w:sz w:val="24"/>
                <w:szCs w:val="24"/>
              </w:rPr>
            </w:pPr>
            <w:r w:rsidRPr="00481A17">
              <w:rPr>
                <w:rFonts w:ascii="Times New Roman" w:hAnsi="Times New Roman" w:cs="Times New Roman"/>
                <w:b/>
                <w:bCs/>
                <w:sz w:val="24"/>
                <w:szCs w:val="24"/>
              </w:rPr>
              <w:t>Gasoline and diesel</w:t>
            </w:r>
          </w:p>
        </w:tc>
        <w:tc>
          <w:tcPr>
            <w:tcW w:w="1532" w:type="dxa"/>
          </w:tcPr>
          <w:p w14:paraId="426DD9AD"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$1021 million</w:t>
            </w:r>
          </w:p>
        </w:tc>
        <w:tc>
          <w:tcPr>
            <w:tcW w:w="1543" w:type="dxa"/>
          </w:tcPr>
          <w:p w14:paraId="0B448AFB"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30%</w:t>
            </w:r>
          </w:p>
        </w:tc>
        <w:tc>
          <w:tcPr>
            <w:tcW w:w="1543" w:type="dxa"/>
          </w:tcPr>
          <w:p w14:paraId="5F9488E9" w14:textId="77777777" w:rsidR="00F447AC" w:rsidRPr="007B3170" w:rsidRDefault="00F447AC" w:rsidP="00481A17">
            <w:pPr>
              <w:rPr>
                <w:rFonts w:ascii="Times New Roman" w:hAnsi="Times New Roman" w:cs="Times New Roman"/>
                <w:sz w:val="24"/>
                <w:szCs w:val="24"/>
              </w:rPr>
            </w:pPr>
            <w:r w:rsidRPr="007B3170">
              <w:rPr>
                <w:rFonts w:ascii="Times New Roman" w:hAnsi="Times New Roman" w:cs="Times New Roman"/>
                <w:sz w:val="24"/>
                <w:szCs w:val="24"/>
              </w:rPr>
              <w:t>$300 million</w:t>
            </w:r>
            <w:r w:rsidRPr="007B3170">
              <w:rPr>
                <w:rStyle w:val="FootnoteReference"/>
                <w:rFonts w:ascii="Times New Roman" w:hAnsi="Times New Roman" w:cs="Times New Roman"/>
                <w:sz w:val="24"/>
                <w:szCs w:val="24"/>
              </w:rPr>
              <w:footnoteReference w:id="8"/>
            </w:r>
          </w:p>
        </w:tc>
        <w:tc>
          <w:tcPr>
            <w:tcW w:w="1555" w:type="dxa"/>
          </w:tcPr>
          <w:p w14:paraId="605548A8"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4,150</w:t>
            </w:r>
          </w:p>
        </w:tc>
        <w:tc>
          <w:tcPr>
            <w:tcW w:w="1635" w:type="dxa"/>
          </w:tcPr>
          <w:p w14:paraId="42D13218" w14:textId="77777777" w:rsidR="00F447AC" w:rsidRPr="007B3170" w:rsidRDefault="00F447AC" w:rsidP="00481A17">
            <w:pPr>
              <w:jc w:val="center"/>
              <w:rPr>
                <w:rFonts w:ascii="Times New Roman" w:hAnsi="Times New Roman" w:cs="Times New Roman"/>
                <w:sz w:val="24"/>
                <w:szCs w:val="24"/>
              </w:rPr>
            </w:pPr>
            <w:r w:rsidRPr="007B3170">
              <w:rPr>
                <w:rFonts w:ascii="Times New Roman" w:hAnsi="Times New Roman" w:cs="Times New Roman"/>
                <w:sz w:val="24"/>
                <w:szCs w:val="24"/>
              </w:rPr>
              <w:t>$165 million</w:t>
            </w:r>
            <w:r w:rsidRPr="007B3170">
              <w:rPr>
                <w:rStyle w:val="FootnoteReference"/>
                <w:rFonts w:ascii="Times New Roman" w:hAnsi="Times New Roman" w:cs="Times New Roman"/>
                <w:sz w:val="24"/>
                <w:szCs w:val="24"/>
              </w:rPr>
              <w:footnoteReference w:id="9"/>
            </w:r>
          </w:p>
        </w:tc>
      </w:tr>
    </w:tbl>
    <w:p w14:paraId="14E1C644" w14:textId="780D97EB" w:rsidR="00F447AC" w:rsidRDefault="00F447AC" w:rsidP="00481A17">
      <w:pPr>
        <w:spacing w:line="360" w:lineRule="auto"/>
        <w:rPr>
          <w:sz w:val="24"/>
          <w:szCs w:val="24"/>
        </w:rPr>
      </w:pPr>
    </w:p>
    <w:p w14:paraId="0C91493D" w14:textId="2B4A455E" w:rsidR="00432481" w:rsidRDefault="00432481" w:rsidP="00481A17">
      <w:pPr>
        <w:spacing w:line="360" w:lineRule="auto"/>
        <w:rPr>
          <w:rFonts w:ascii="Times New Roman" w:hAnsi="Times New Roman" w:cs="Times New Roman"/>
          <w:sz w:val="24"/>
          <w:szCs w:val="24"/>
        </w:rPr>
      </w:pPr>
      <w:r w:rsidRPr="00432481">
        <w:rPr>
          <w:rFonts w:ascii="Times New Roman" w:hAnsi="Times New Roman" w:cs="Times New Roman"/>
          <w:sz w:val="24"/>
          <w:szCs w:val="24"/>
        </w:rPr>
        <w:t>There are important demographic differences in energy use and energy cost burden</w:t>
      </w:r>
      <w:r w:rsidR="00244D1D">
        <w:rPr>
          <w:rFonts w:ascii="Times New Roman" w:hAnsi="Times New Roman" w:cs="Times New Roman"/>
          <w:sz w:val="24"/>
          <w:szCs w:val="24"/>
        </w:rPr>
        <w:t>s</w:t>
      </w:r>
      <w:r w:rsidRPr="00432481">
        <w:rPr>
          <w:rFonts w:ascii="Times New Roman" w:hAnsi="Times New Roman" w:cs="Times New Roman"/>
          <w:sz w:val="24"/>
          <w:szCs w:val="24"/>
        </w:rPr>
        <w:t>. On average, upper-income households consume more fossil fuels for transportation and heating, spending more on energy than lower-income households.</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Pr="00432481">
        <w:rPr>
          <w:rFonts w:ascii="Times New Roman" w:hAnsi="Times New Roman" w:cs="Times New Roman"/>
          <w:sz w:val="24"/>
          <w:szCs w:val="24"/>
        </w:rPr>
        <w:t xml:space="preserve">However, the share of income that lower-income households spend on energy – their energy burden – is higher than the share spent on energy by upper income households. </w:t>
      </w:r>
      <w:r w:rsidR="00BE5443">
        <w:rPr>
          <w:rFonts w:ascii="Times New Roman" w:hAnsi="Times New Roman" w:cs="Times New Roman"/>
          <w:sz w:val="24"/>
          <w:szCs w:val="24"/>
        </w:rPr>
        <w:t xml:space="preserve">Far too often, those who can least afford it are stuck with the highest costs for energy, from renters who have to heat with resistance electric heat because landlords have not upgraded heating systems, to lower-income Vermonters who often drive older vehicles that are more expensive to operate and maintain. </w:t>
      </w:r>
    </w:p>
    <w:p w14:paraId="17674BD4" w14:textId="490E4ECD" w:rsidR="00432481" w:rsidRDefault="00432481" w:rsidP="00481A17">
      <w:pPr>
        <w:spacing w:line="360" w:lineRule="auto"/>
        <w:rPr>
          <w:rFonts w:ascii="Times New Roman" w:hAnsi="Times New Roman" w:cs="Times New Roman"/>
          <w:sz w:val="24"/>
          <w:szCs w:val="24"/>
        </w:rPr>
      </w:pPr>
      <w:r w:rsidRPr="00432481">
        <w:rPr>
          <w:rFonts w:ascii="Times New Roman" w:hAnsi="Times New Roman" w:cs="Times New Roman"/>
          <w:sz w:val="24"/>
          <w:szCs w:val="24"/>
        </w:rPr>
        <w:lastRenderedPageBreak/>
        <w:t>Another important difference is that rural households tend to spend more on transportation than urban households.</w:t>
      </w:r>
      <w:r>
        <w:rPr>
          <w:rFonts w:ascii="Times New Roman" w:hAnsi="Times New Roman" w:cs="Times New Roman"/>
          <w:sz w:val="24"/>
          <w:szCs w:val="24"/>
        </w:rPr>
        <w:t xml:space="preserve"> Indeed, </w:t>
      </w:r>
      <w:r w:rsidR="00F01341">
        <w:rPr>
          <w:rFonts w:ascii="Times New Roman" w:hAnsi="Times New Roman" w:cs="Times New Roman"/>
          <w:sz w:val="24"/>
          <w:szCs w:val="24"/>
        </w:rPr>
        <w:t xml:space="preserve">average </w:t>
      </w:r>
      <w:r>
        <w:rPr>
          <w:rFonts w:ascii="Times New Roman" w:hAnsi="Times New Roman" w:cs="Times New Roman"/>
          <w:sz w:val="24"/>
          <w:szCs w:val="24"/>
        </w:rPr>
        <w:t>total energy burden (spen</w:t>
      </w:r>
      <w:r w:rsidR="00BE5443">
        <w:rPr>
          <w:rFonts w:ascii="Times New Roman" w:hAnsi="Times New Roman" w:cs="Times New Roman"/>
          <w:sz w:val="24"/>
          <w:szCs w:val="24"/>
        </w:rPr>
        <w:t xml:space="preserve">ding on transportation and heating fuels as well as electricity, as a share of total income) </w:t>
      </w:r>
      <w:r>
        <w:rPr>
          <w:rFonts w:ascii="Times New Roman" w:hAnsi="Times New Roman" w:cs="Times New Roman"/>
          <w:sz w:val="24"/>
          <w:szCs w:val="24"/>
        </w:rPr>
        <w:t>var</w:t>
      </w:r>
      <w:r w:rsidR="00F01341">
        <w:rPr>
          <w:rFonts w:ascii="Times New Roman" w:hAnsi="Times New Roman" w:cs="Times New Roman"/>
          <w:sz w:val="24"/>
          <w:szCs w:val="24"/>
        </w:rPr>
        <w:t xml:space="preserve">ies </w:t>
      </w:r>
      <w:r>
        <w:rPr>
          <w:rFonts w:ascii="Times New Roman" w:hAnsi="Times New Roman" w:cs="Times New Roman"/>
          <w:sz w:val="24"/>
          <w:szCs w:val="24"/>
        </w:rPr>
        <w:t xml:space="preserve">by region, </w:t>
      </w:r>
      <w:r w:rsidR="00BE5443">
        <w:rPr>
          <w:rFonts w:ascii="Times New Roman" w:hAnsi="Times New Roman" w:cs="Times New Roman"/>
          <w:sz w:val="24"/>
          <w:szCs w:val="24"/>
        </w:rPr>
        <w:t xml:space="preserve">from a lowest average of 6.7% to a highest of 17.4%, in multiple Northeast Kingdom towns. </w:t>
      </w:r>
    </w:p>
    <w:p w14:paraId="4BCA4777" w14:textId="5E8CA953" w:rsidR="00432481" w:rsidRPr="00D25885" w:rsidRDefault="00F11F03" w:rsidP="00481A17">
      <w:pPr>
        <w:spacing w:line="360" w:lineRule="auto"/>
        <w:rPr>
          <w:rFonts w:ascii="Times New Roman" w:hAnsi="Times New Roman" w:cs="Times New Roman"/>
          <w:sz w:val="24"/>
          <w:szCs w:val="24"/>
          <w:u w:val="single"/>
        </w:rPr>
      </w:pPr>
      <w:r>
        <w:rPr>
          <w:rFonts w:ascii="Times New Roman" w:hAnsi="Times New Roman" w:cs="Times New Roman"/>
          <w:sz w:val="24"/>
          <w:szCs w:val="24"/>
        </w:rPr>
        <w:t>Figure</w:t>
      </w:r>
      <w:r w:rsidR="00432481">
        <w:rPr>
          <w:rFonts w:ascii="Times New Roman" w:hAnsi="Times New Roman" w:cs="Times New Roman"/>
          <w:sz w:val="24"/>
          <w:szCs w:val="24"/>
        </w:rPr>
        <w:t xml:space="preserve"> 5. </w:t>
      </w:r>
      <w:r w:rsidR="00432481" w:rsidRPr="00D25885">
        <w:rPr>
          <w:rFonts w:ascii="Times New Roman" w:hAnsi="Times New Roman" w:cs="Times New Roman"/>
          <w:sz w:val="24"/>
          <w:szCs w:val="24"/>
          <w:u w:val="single"/>
        </w:rPr>
        <w:t xml:space="preserve">Total Energy Burden </w:t>
      </w:r>
      <w:r w:rsidR="00BE5443" w:rsidRPr="00D25885">
        <w:rPr>
          <w:rFonts w:ascii="Times New Roman" w:hAnsi="Times New Roman" w:cs="Times New Roman"/>
          <w:sz w:val="24"/>
          <w:szCs w:val="24"/>
          <w:u w:val="single"/>
        </w:rPr>
        <w:t xml:space="preserve">(Average) </w:t>
      </w:r>
      <w:r w:rsidR="00432481" w:rsidRPr="00D25885">
        <w:rPr>
          <w:rFonts w:ascii="Times New Roman" w:hAnsi="Times New Roman" w:cs="Times New Roman"/>
          <w:sz w:val="24"/>
          <w:szCs w:val="24"/>
          <w:u w:val="single"/>
        </w:rPr>
        <w:t>by Town</w:t>
      </w:r>
    </w:p>
    <w:p w14:paraId="738A8ECF" w14:textId="11F68AD1" w:rsidR="00432481" w:rsidRDefault="00432481" w:rsidP="00481A17">
      <w:pPr>
        <w:spacing w:after="0" w:line="360" w:lineRule="auto"/>
        <w:rPr>
          <w:rFonts w:ascii="Times New Roman" w:eastAsia="Times New Roman" w:hAnsi="Times New Roman" w:cs="Times New Roman"/>
          <w:sz w:val="24"/>
          <w:szCs w:val="24"/>
        </w:rPr>
      </w:pPr>
      <w:r w:rsidRPr="00432481">
        <w:rPr>
          <w:rFonts w:ascii="Times New Roman" w:eastAsia="Times New Roman" w:hAnsi="Times New Roman" w:cs="Times New Roman"/>
          <w:sz w:val="24"/>
          <w:szCs w:val="24"/>
        </w:rPr>
        <w:fldChar w:fldCharType="begin"/>
      </w:r>
      <w:r w:rsidRPr="00432481">
        <w:rPr>
          <w:rFonts w:ascii="Times New Roman" w:eastAsia="Times New Roman" w:hAnsi="Times New Roman" w:cs="Times New Roman"/>
          <w:sz w:val="24"/>
          <w:szCs w:val="24"/>
        </w:rPr>
        <w:instrText xml:space="preserve"> INCLUDEPICTURE "https://www.efficiencyvermont.com/Media/Default/images/white-papers/TotalEnergyBurden.jpg" \* MERGEFORMATINET </w:instrText>
      </w:r>
      <w:r w:rsidRPr="00432481">
        <w:rPr>
          <w:rFonts w:ascii="Times New Roman" w:eastAsia="Times New Roman" w:hAnsi="Times New Roman" w:cs="Times New Roman"/>
          <w:sz w:val="24"/>
          <w:szCs w:val="24"/>
        </w:rPr>
        <w:fldChar w:fldCharType="separate"/>
      </w:r>
      <w:r w:rsidRPr="00432481">
        <w:rPr>
          <w:rFonts w:ascii="Times New Roman" w:eastAsia="Times New Roman" w:hAnsi="Times New Roman" w:cs="Times New Roman"/>
          <w:noProof/>
          <w:sz w:val="24"/>
          <w:szCs w:val="24"/>
        </w:rPr>
        <w:drawing>
          <wp:inline distT="0" distB="0" distL="0" distR="0" wp14:anchorId="715AD6FA" wp14:editId="61ADD631">
            <wp:extent cx="4038600" cy="4038600"/>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038600" cy="4038600"/>
                    </a:xfrm>
                    <a:prstGeom prst="rect">
                      <a:avLst/>
                    </a:prstGeom>
                    <a:noFill/>
                    <a:ln>
                      <a:noFill/>
                    </a:ln>
                  </pic:spPr>
                </pic:pic>
              </a:graphicData>
            </a:graphic>
          </wp:inline>
        </w:drawing>
      </w:r>
      <w:r w:rsidRPr="00432481">
        <w:rPr>
          <w:rFonts w:ascii="Times New Roman" w:eastAsia="Times New Roman" w:hAnsi="Times New Roman" w:cs="Times New Roman"/>
          <w:sz w:val="24"/>
          <w:szCs w:val="24"/>
        </w:rPr>
        <w:fldChar w:fldCharType="end"/>
      </w:r>
    </w:p>
    <w:p w14:paraId="0F0443B7" w14:textId="7CF38FCB" w:rsidR="00F447AC" w:rsidRPr="00DF59C9" w:rsidRDefault="00AA7934" w:rsidP="00481A17">
      <w:pPr>
        <w:spacing w:line="360" w:lineRule="auto"/>
        <w:rPr>
          <w:rFonts w:ascii="Times New Roman" w:hAnsi="Times New Roman" w:cs="Times New Roman"/>
          <w:b/>
          <w:bCs/>
          <w:sz w:val="28"/>
          <w:szCs w:val="28"/>
        </w:rPr>
      </w:pPr>
      <w:r w:rsidRPr="00DF59C9">
        <w:rPr>
          <w:rFonts w:ascii="Times New Roman" w:hAnsi="Times New Roman" w:cs="Times New Roman"/>
          <w:b/>
          <w:bCs/>
          <w:sz w:val="28"/>
          <w:szCs w:val="28"/>
        </w:rPr>
        <w:t xml:space="preserve">Economic Opportunities Related to Climate Action </w:t>
      </w:r>
    </w:p>
    <w:p w14:paraId="61E06C26" w14:textId="77777777" w:rsidR="007B3170" w:rsidRDefault="00E618D6" w:rsidP="00481A17">
      <w:pPr>
        <w:spacing w:line="360" w:lineRule="auto"/>
        <w:rPr>
          <w:rFonts w:ascii="Times New Roman" w:hAnsi="Times New Roman" w:cs="Times New Roman"/>
          <w:sz w:val="24"/>
          <w:szCs w:val="24"/>
        </w:rPr>
      </w:pPr>
      <w:r>
        <w:rPr>
          <w:rFonts w:ascii="Times New Roman" w:hAnsi="Times New Roman" w:cs="Times New Roman"/>
          <w:sz w:val="24"/>
          <w:szCs w:val="24"/>
        </w:rPr>
        <w:t xml:space="preserve">Transitioning off of fossil fuels presents significant opportunities for Vermonters: </w:t>
      </w:r>
      <w:r w:rsidRPr="00E618D6">
        <w:rPr>
          <w:rFonts w:ascii="Times New Roman" w:hAnsi="Times New Roman" w:cs="Times New Roman"/>
          <w:sz w:val="24"/>
          <w:szCs w:val="24"/>
        </w:rPr>
        <w:t>lower energy prices; greater investment in the Vermont economy</w:t>
      </w:r>
      <w:r w:rsidR="007B3170">
        <w:rPr>
          <w:rFonts w:ascii="Times New Roman" w:hAnsi="Times New Roman" w:cs="Times New Roman"/>
          <w:sz w:val="24"/>
          <w:szCs w:val="24"/>
        </w:rPr>
        <w:t xml:space="preserve">; </w:t>
      </w:r>
      <w:r w:rsidRPr="00E618D6">
        <w:rPr>
          <w:rFonts w:ascii="Times New Roman" w:hAnsi="Times New Roman" w:cs="Times New Roman"/>
          <w:sz w:val="24"/>
          <w:szCs w:val="24"/>
        </w:rPr>
        <w:t>and more and better paying local jobs.</w:t>
      </w:r>
      <w:r>
        <w:rPr>
          <w:rFonts w:ascii="Times New Roman" w:hAnsi="Times New Roman" w:cs="Times New Roman"/>
          <w:sz w:val="24"/>
          <w:szCs w:val="24"/>
        </w:rPr>
        <w:t xml:space="preserve"> </w:t>
      </w:r>
    </w:p>
    <w:p w14:paraId="1D4D1970" w14:textId="10D1D977" w:rsidR="00E618D6" w:rsidRDefault="00E618D6" w:rsidP="00481A17">
      <w:pPr>
        <w:spacing w:line="360" w:lineRule="auto"/>
        <w:rPr>
          <w:rFonts w:ascii="Times New Roman" w:hAnsi="Times New Roman" w:cs="Times New Roman"/>
          <w:sz w:val="24"/>
          <w:szCs w:val="24"/>
        </w:rPr>
      </w:pPr>
      <w:r>
        <w:rPr>
          <w:rFonts w:ascii="Times New Roman" w:hAnsi="Times New Roman" w:cs="Times New Roman"/>
          <w:sz w:val="24"/>
          <w:szCs w:val="24"/>
        </w:rPr>
        <w:t>The extent to which Vermonters can efficiently utilize electricity for transportation (electric vehicles) and heating (</w:t>
      </w:r>
      <w:r w:rsidRPr="00F01341">
        <w:rPr>
          <w:rFonts w:ascii="Times New Roman" w:hAnsi="Times New Roman" w:cs="Times New Roman"/>
          <w:sz w:val="24"/>
          <w:szCs w:val="24"/>
        </w:rPr>
        <w:t xml:space="preserve">heat pumps for space and water heating) presents an </w:t>
      </w:r>
      <w:r w:rsidR="006D7165" w:rsidRPr="00F01341">
        <w:rPr>
          <w:rFonts w:ascii="Times New Roman" w:hAnsi="Times New Roman" w:cs="Times New Roman"/>
          <w:sz w:val="24"/>
          <w:szCs w:val="24"/>
        </w:rPr>
        <w:t>opportunity to use an energy source that can now be used more economically and that can contribute more to the Vermont economy</w:t>
      </w:r>
      <w:r w:rsidRPr="00F01341">
        <w:rPr>
          <w:rFonts w:ascii="Times New Roman" w:hAnsi="Times New Roman" w:cs="Times New Roman"/>
          <w:sz w:val="24"/>
          <w:szCs w:val="24"/>
        </w:rPr>
        <w:t>.</w:t>
      </w:r>
      <w:r w:rsidR="00621CDC" w:rsidRPr="00F01341">
        <w:rPr>
          <w:rStyle w:val="FootnoteReference"/>
          <w:rFonts w:ascii="Times New Roman" w:hAnsi="Times New Roman" w:cs="Times New Roman"/>
          <w:sz w:val="24"/>
          <w:szCs w:val="24"/>
        </w:rPr>
        <w:footnoteReference w:id="11"/>
      </w:r>
      <w:r w:rsidRPr="00F01341">
        <w:rPr>
          <w:rFonts w:ascii="Times New Roman" w:hAnsi="Times New Roman" w:cs="Times New Roman"/>
          <w:sz w:val="24"/>
          <w:szCs w:val="24"/>
        </w:rPr>
        <w:t xml:space="preserve"> The same is true of wood heating. </w:t>
      </w:r>
      <w:r w:rsidR="007B3170" w:rsidRPr="00F01341">
        <w:rPr>
          <w:rFonts w:ascii="Times New Roman" w:hAnsi="Times New Roman" w:cs="Times New Roman"/>
          <w:sz w:val="24"/>
          <w:szCs w:val="24"/>
        </w:rPr>
        <w:t xml:space="preserve">Other renewable fuels, such as B100 </w:t>
      </w:r>
      <w:r w:rsidR="007B3170" w:rsidRPr="00F01341">
        <w:rPr>
          <w:rFonts w:ascii="Times New Roman" w:hAnsi="Times New Roman" w:cs="Times New Roman"/>
          <w:sz w:val="24"/>
          <w:szCs w:val="24"/>
        </w:rPr>
        <w:lastRenderedPageBreak/>
        <w:t>biodiesel or renewable natural gas can not necessarily</w:t>
      </w:r>
      <w:r w:rsidR="007B3170">
        <w:rPr>
          <w:rFonts w:ascii="Times New Roman" w:hAnsi="Times New Roman" w:cs="Times New Roman"/>
          <w:sz w:val="24"/>
          <w:szCs w:val="24"/>
        </w:rPr>
        <w:t xml:space="preserve"> be counted on to provide energy cost savings, even if they can provide </w:t>
      </w:r>
      <w:r w:rsidR="003C7BC6">
        <w:rPr>
          <w:rFonts w:ascii="Times New Roman" w:hAnsi="Times New Roman" w:cs="Times New Roman"/>
          <w:sz w:val="24"/>
          <w:szCs w:val="24"/>
        </w:rPr>
        <w:t xml:space="preserve">GHG </w:t>
      </w:r>
      <w:r w:rsidR="007B3170">
        <w:rPr>
          <w:rFonts w:ascii="Times New Roman" w:hAnsi="Times New Roman" w:cs="Times New Roman"/>
          <w:sz w:val="24"/>
          <w:szCs w:val="24"/>
        </w:rPr>
        <w:t xml:space="preserve">emissions reductions when replacing fossil fuels. </w:t>
      </w:r>
    </w:p>
    <w:p w14:paraId="7065960E" w14:textId="4090685F" w:rsidR="00E618D6" w:rsidRDefault="00953D3C" w:rsidP="00481A17">
      <w:pPr>
        <w:pStyle w:val="NormalWeb"/>
        <w:shd w:val="clear" w:color="auto" w:fill="FFFFFF"/>
        <w:spacing w:before="0" w:beforeAutospacing="0" w:after="0" w:afterAutospacing="0" w:line="360" w:lineRule="auto"/>
      </w:pPr>
      <w:r>
        <w:t>There</w:t>
      </w:r>
      <w:r w:rsidR="00E618D6">
        <w:t xml:space="preserve"> are up-front costs related to equipment replacement or change-outs that also have to be considered alongside fuel costs (i.e., capital vs. operating costs). </w:t>
      </w:r>
      <w:r w:rsidR="007B3170">
        <w:t xml:space="preserve">However, with federal, state, and utility incentives, the up-front cost of electric or renewable alternatives can often be lower than those for fossil fuel equipment (though prices vary by model). </w:t>
      </w:r>
    </w:p>
    <w:p w14:paraId="6BCE5744" w14:textId="77777777" w:rsidR="00E618D6" w:rsidRDefault="00E618D6" w:rsidP="00481A17">
      <w:pPr>
        <w:pStyle w:val="NormalWeb"/>
        <w:shd w:val="clear" w:color="auto" w:fill="FFFFFF"/>
        <w:spacing w:before="0" w:beforeAutospacing="0" w:after="0" w:afterAutospacing="0" w:line="360" w:lineRule="auto"/>
      </w:pPr>
    </w:p>
    <w:p w14:paraId="3ACB9D30" w14:textId="3861D0E6" w:rsidR="00E618D6" w:rsidRDefault="00E618D6" w:rsidP="00481A17">
      <w:pPr>
        <w:pStyle w:val="NormalWeb"/>
        <w:shd w:val="clear" w:color="auto" w:fill="FFFFFF"/>
        <w:spacing w:before="0" w:beforeAutospacing="0" w:after="0" w:afterAutospacing="0" w:line="360" w:lineRule="auto"/>
        <w:rPr>
          <w:color w:val="000000"/>
        </w:rPr>
      </w:pPr>
      <w:r>
        <w:rPr>
          <w:color w:val="000000"/>
        </w:rPr>
        <w:t xml:space="preserve">Historically, we have used fossil fuels mainly out of necessity: to get to work or school; to keep our homes and businesses warm; to mow our lawns or clear our driveways of snow. However, over the last decade it has become increasingly possible to do each of these things without needing fossil fuel. Whenever a vehicle, a heating system, or other piece of fossil fueled equipment reaches the end of its life, we now have proven and available electric technology or renewable alternatives ready to take </w:t>
      </w:r>
      <w:r w:rsidR="005435A4">
        <w:rPr>
          <w:color w:val="000000"/>
        </w:rPr>
        <w:t>the</w:t>
      </w:r>
      <w:r>
        <w:rPr>
          <w:color w:val="000000"/>
        </w:rPr>
        <w:t xml:space="preserve"> place and do the same job—oftentimes better and more affordably. </w:t>
      </w:r>
      <w:r w:rsidR="005435A4">
        <w:rPr>
          <w:color w:val="000000"/>
        </w:rPr>
        <w:t xml:space="preserve">In some cases, </w:t>
      </w:r>
      <w:r w:rsidR="00F01341">
        <w:rPr>
          <w:color w:val="000000"/>
        </w:rPr>
        <w:t xml:space="preserve">however, </w:t>
      </w:r>
      <w:r w:rsidR="005435A4">
        <w:rPr>
          <w:color w:val="000000"/>
        </w:rPr>
        <w:t xml:space="preserve">such as heavy duty applications, electric or renewable alternatives are not </w:t>
      </w:r>
      <w:r w:rsidR="007507BC">
        <w:rPr>
          <w:color w:val="000000"/>
        </w:rPr>
        <w:t xml:space="preserve">yet </w:t>
      </w:r>
      <w:r w:rsidR="005435A4">
        <w:rPr>
          <w:color w:val="000000"/>
        </w:rPr>
        <w:t xml:space="preserve">as advanced in terms of economic and technical feasibility. </w:t>
      </w:r>
    </w:p>
    <w:p w14:paraId="7B231F12" w14:textId="77777777" w:rsidR="00E618D6" w:rsidRPr="00E618D6" w:rsidRDefault="00E618D6" w:rsidP="00481A17">
      <w:pPr>
        <w:pStyle w:val="NormalWeb"/>
        <w:shd w:val="clear" w:color="auto" w:fill="FFFFFF"/>
        <w:spacing w:before="0" w:beforeAutospacing="0" w:after="0" w:afterAutospacing="0" w:line="360" w:lineRule="auto"/>
        <w:rPr>
          <w:rFonts w:ascii="Arial" w:hAnsi="Arial" w:cs="Arial"/>
          <w:color w:val="000000"/>
        </w:rPr>
      </w:pPr>
    </w:p>
    <w:p w14:paraId="18261EB4" w14:textId="6444B8CE" w:rsidR="00E618D6" w:rsidRDefault="00F01341" w:rsidP="00481A17">
      <w:pPr>
        <w:pStyle w:val="NormalWeb"/>
        <w:shd w:val="clear" w:color="auto" w:fill="FFFFFF"/>
        <w:spacing w:before="0" w:beforeAutospacing="0" w:after="0" w:afterAutospacing="0" w:line="360" w:lineRule="auto"/>
        <w:rPr>
          <w:rFonts w:ascii="Arial" w:hAnsi="Arial" w:cs="Arial"/>
          <w:color w:val="000000"/>
        </w:rPr>
      </w:pPr>
      <w:r>
        <w:rPr>
          <w:color w:val="000000"/>
        </w:rPr>
        <w:t xml:space="preserve">Yet </w:t>
      </w:r>
      <w:r w:rsidR="005435A4">
        <w:rPr>
          <w:color w:val="000000"/>
        </w:rPr>
        <w:t xml:space="preserve">many </w:t>
      </w:r>
      <w:r w:rsidR="00E618D6">
        <w:rPr>
          <w:color w:val="000000"/>
        </w:rPr>
        <w:t>opportunities are ready now. Take electric vehicles</w:t>
      </w:r>
      <w:r w:rsidR="005435A4">
        <w:rPr>
          <w:color w:val="000000"/>
        </w:rPr>
        <w:t xml:space="preserve"> (EVs)</w:t>
      </w:r>
      <w:r w:rsidR="00E618D6">
        <w:rPr>
          <w:color w:val="000000"/>
        </w:rPr>
        <w:t xml:space="preserve">, for example. The Union of Concerned Scientists estimates that EVs, on average, </w:t>
      </w:r>
      <w:r w:rsidR="006D7165">
        <w:rPr>
          <w:color w:val="000000"/>
        </w:rPr>
        <w:t xml:space="preserve">can </w:t>
      </w:r>
      <w:r w:rsidR="00E618D6">
        <w:rPr>
          <w:color w:val="000000"/>
        </w:rPr>
        <w:t xml:space="preserve">save rural Vermont drivers </w:t>
      </w:r>
      <w:r w:rsidR="006D7165">
        <w:rPr>
          <w:color w:val="000000"/>
        </w:rPr>
        <w:t xml:space="preserve">over </w:t>
      </w:r>
      <w:r w:rsidR="00E618D6">
        <w:rPr>
          <w:color w:val="000000"/>
        </w:rPr>
        <w:t>$1,500 a year compared to gas vehicles.</w:t>
      </w:r>
      <w:r w:rsidR="00481A17">
        <w:rPr>
          <w:rStyle w:val="FootnoteReference"/>
          <w:color w:val="000000"/>
        </w:rPr>
        <w:footnoteReference w:id="12"/>
      </w:r>
      <w:r w:rsidR="00E618D6">
        <w:rPr>
          <w:color w:val="000000"/>
        </w:rPr>
        <w:t xml:space="preserve"> </w:t>
      </w:r>
      <w:r w:rsidR="006D7165">
        <w:rPr>
          <w:color w:val="000000"/>
        </w:rPr>
        <w:t>On average, char</w:t>
      </w:r>
      <w:r w:rsidR="003C0F69">
        <w:rPr>
          <w:color w:val="000000"/>
        </w:rPr>
        <w:t>g</w:t>
      </w:r>
      <w:r w:rsidR="006D7165">
        <w:rPr>
          <w:color w:val="000000"/>
        </w:rPr>
        <w:t>ing an EV costs about the equivalent of $1.50 a gallon in Vermont. However, d</w:t>
      </w:r>
      <w:r w:rsidR="00E618D6">
        <w:rPr>
          <w:color w:val="000000"/>
        </w:rPr>
        <w:t>epending on</w:t>
      </w:r>
      <w:r w:rsidR="005435A4">
        <w:rPr>
          <w:color w:val="000000"/>
        </w:rPr>
        <w:t xml:space="preserve"> electric utility territory</w:t>
      </w:r>
      <w:r w:rsidR="00E618D6">
        <w:rPr>
          <w:color w:val="000000"/>
        </w:rPr>
        <w:t xml:space="preserve">, </w:t>
      </w:r>
      <w:r w:rsidR="006D7165">
        <w:rPr>
          <w:color w:val="000000"/>
        </w:rPr>
        <w:t xml:space="preserve">if customers enroll in off-peak </w:t>
      </w:r>
      <w:r w:rsidR="00E618D6">
        <w:rPr>
          <w:color w:val="000000"/>
        </w:rPr>
        <w:t xml:space="preserve">charging </w:t>
      </w:r>
      <w:r w:rsidR="006D7165">
        <w:rPr>
          <w:color w:val="000000"/>
        </w:rPr>
        <w:t xml:space="preserve">programs, charging </w:t>
      </w:r>
      <w:r w:rsidR="00E618D6">
        <w:rPr>
          <w:color w:val="000000"/>
        </w:rPr>
        <w:t xml:space="preserve">an EV </w:t>
      </w:r>
      <w:r w:rsidR="001C2539">
        <w:rPr>
          <w:color w:val="000000"/>
        </w:rPr>
        <w:t>can cost even less</w:t>
      </w:r>
      <w:r>
        <w:rPr>
          <w:color w:val="000000"/>
        </w:rPr>
        <w:t>:</w:t>
      </w:r>
      <w:r w:rsidR="001C2539">
        <w:rPr>
          <w:color w:val="000000"/>
        </w:rPr>
        <w:t xml:space="preserve"> </w:t>
      </w:r>
      <w:r w:rsidR="00E618D6">
        <w:rPr>
          <w:color w:val="000000"/>
        </w:rPr>
        <w:t>the equivalent of only $1.0</w:t>
      </w:r>
      <w:r w:rsidR="00684854">
        <w:rPr>
          <w:color w:val="000000"/>
        </w:rPr>
        <w:t>3</w:t>
      </w:r>
      <w:r w:rsidR="006D7165">
        <w:rPr>
          <w:color w:val="000000"/>
        </w:rPr>
        <w:t xml:space="preserve"> (Green Mountain Power territory) or even as low as $0.60 (Burlington Electric)</w:t>
      </w:r>
      <w:r w:rsidR="00E618D6">
        <w:rPr>
          <w:color w:val="000000"/>
        </w:rPr>
        <w:t>. That’s a big d</w:t>
      </w:r>
      <w:r w:rsidR="00684854">
        <w:rPr>
          <w:color w:val="000000"/>
        </w:rPr>
        <w:t>ifference</w:t>
      </w:r>
      <w:r w:rsidR="00E618D6">
        <w:rPr>
          <w:color w:val="000000"/>
        </w:rPr>
        <w:t xml:space="preserve"> when compared to gas prices that have been well over $3.00 a gallon since July, 2021 having spiked nearly 50% in the last year. EVs also cost less to maintain (no oil changes, for instance). Finally, </w:t>
      </w:r>
      <w:r w:rsidR="001C2539">
        <w:rPr>
          <w:color w:val="000000"/>
        </w:rPr>
        <w:t xml:space="preserve">with </w:t>
      </w:r>
      <w:r w:rsidR="00E618D6">
        <w:rPr>
          <w:color w:val="000000"/>
        </w:rPr>
        <w:t>federal, state, utility, and other incentives, EVs—whether new or used—can cost less up-front than comparable gasoline models</w:t>
      </w:r>
      <w:r w:rsidR="001C2539">
        <w:rPr>
          <w:color w:val="000000"/>
        </w:rPr>
        <w:t xml:space="preserve">, though </w:t>
      </w:r>
      <w:r>
        <w:rPr>
          <w:color w:val="000000"/>
        </w:rPr>
        <w:t>the extent to which this remains the case</w:t>
      </w:r>
      <w:r w:rsidR="001C2539">
        <w:rPr>
          <w:color w:val="000000"/>
        </w:rPr>
        <w:t xml:space="preserve"> depends on continued incentives (and </w:t>
      </w:r>
      <w:r>
        <w:rPr>
          <w:color w:val="000000"/>
        </w:rPr>
        <w:t>can be</w:t>
      </w:r>
      <w:r w:rsidR="00684854">
        <w:rPr>
          <w:color w:val="000000"/>
        </w:rPr>
        <w:t xml:space="preserve"> true</w:t>
      </w:r>
      <w:r>
        <w:rPr>
          <w:color w:val="000000"/>
        </w:rPr>
        <w:t xml:space="preserve"> more consistently </w:t>
      </w:r>
      <w:r w:rsidR="001C2539">
        <w:rPr>
          <w:color w:val="000000"/>
        </w:rPr>
        <w:t xml:space="preserve">with both expanded incentives and </w:t>
      </w:r>
      <w:r w:rsidR="00D25885">
        <w:rPr>
          <w:color w:val="000000"/>
        </w:rPr>
        <w:t xml:space="preserve">future </w:t>
      </w:r>
      <w:r w:rsidR="001C2539">
        <w:rPr>
          <w:color w:val="000000"/>
        </w:rPr>
        <w:t>projected cost decreases, as EVs reach scale)</w:t>
      </w:r>
      <w:r w:rsidR="00E618D6">
        <w:rPr>
          <w:color w:val="000000"/>
        </w:rPr>
        <w:t>.</w:t>
      </w:r>
      <w:r w:rsidR="00E618D6">
        <w:rPr>
          <w:rStyle w:val="FootnoteReference"/>
          <w:color w:val="000000"/>
        </w:rPr>
        <w:footnoteReference w:id="13"/>
      </w:r>
    </w:p>
    <w:p w14:paraId="5AD981CC" w14:textId="3897DAD9" w:rsidR="00E618D6" w:rsidRDefault="00E618D6" w:rsidP="00481A17">
      <w:pPr>
        <w:pStyle w:val="NormalWeb"/>
        <w:shd w:val="clear" w:color="auto" w:fill="FFFFFF"/>
        <w:spacing w:before="0" w:beforeAutospacing="0" w:after="0" w:afterAutospacing="0" w:line="360" w:lineRule="auto"/>
        <w:rPr>
          <w:rFonts w:ascii="Arial" w:hAnsi="Arial" w:cs="Arial"/>
          <w:color w:val="000000"/>
        </w:rPr>
      </w:pPr>
      <w:r>
        <w:rPr>
          <w:color w:val="000000"/>
        </w:rPr>
        <w:lastRenderedPageBreak/>
        <w:t xml:space="preserve">Home and building weatherization can significantly reduce heating costs while improving health and comfort. And heat pump systems and efficient wood heat—whether with </w:t>
      </w:r>
      <w:r w:rsidR="00481A17">
        <w:rPr>
          <w:color w:val="000000"/>
        </w:rPr>
        <w:t xml:space="preserve">efficient </w:t>
      </w:r>
      <w:r>
        <w:rPr>
          <w:color w:val="000000"/>
        </w:rPr>
        <w:t>stoves or automated boilers and furnaces—both reduce greenhouse gas emissions and can save consumers money compared to fossil heat</w:t>
      </w:r>
      <w:r w:rsidR="00F01341">
        <w:rPr>
          <w:color w:val="000000"/>
        </w:rPr>
        <w:t xml:space="preserve">. </w:t>
      </w:r>
      <w:r w:rsidR="00D25885" w:rsidRPr="00D25885">
        <w:rPr>
          <w:color w:val="000000"/>
        </w:rPr>
        <w:t xml:space="preserve">It is important to note that potential savings or costs related to heat pumps </w:t>
      </w:r>
      <w:r w:rsidR="00D25885">
        <w:rPr>
          <w:color w:val="000000"/>
        </w:rPr>
        <w:t xml:space="preserve">do </w:t>
      </w:r>
      <w:r w:rsidR="00D25885" w:rsidRPr="00D25885">
        <w:rPr>
          <w:color w:val="000000"/>
        </w:rPr>
        <w:t>vary depending on utility territory and other factors. Meanwhile, cost savings from use of efficient wood and pellet stoves are often more straightforward than cost savings from automated wood pellet boilers, which often depend on equipment purchase incentives to achieve price parity.</w:t>
      </w:r>
    </w:p>
    <w:p w14:paraId="65556160" w14:textId="77777777" w:rsidR="00E618D6" w:rsidRDefault="00E618D6" w:rsidP="00481A17">
      <w:pPr>
        <w:pStyle w:val="NormalWeb"/>
        <w:shd w:val="clear" w:color="auto" w:fill="FFFFFF"/>
        <w:spacing w:before="0" w:beforeAutospacing="0" w:after="0" w:afterAutospacing="0" w:line="360" w:lineRule="auto"/>
        <w:rPr>
          <w:rFonts w:ascii="Arial" w:hAnsi="Arial" w:cs="Arial"/>
          <w:color w:val="000000"/>
        </w:rPr>
      </w:pPr>
      <w:r>
        <w:rPr>
          <w:color w:val="000000"/>
        </w:rPr>
        <w:t> </w:t>
      </w:r>
    </w:p>
    <w:p w14:paraId="294CA273" w14:textId="7B7CBFEE" w:rsidR="00E618D6" w:rsidRDefault="00E618D6" w:rsidP="00481A17">
      <w:pPr>
        <w:pStyle w:val="NormalWeb"/>
        <w:shd w:val="clear" w:color="auto" w:fill="FFFFFF"/>
        <w:spacing w:before="0" w:beforeAutospacing="0" w:after="0" w:afterAutospacing="0" w:line="360" w:lineRule="auto"/>
        <w:rPr>
          <w:rFonts w:ascii="Arial" w:hAnsi="Arial" w:cs="Arial"/>
          <w:color w:val="000000"/>
        </w:rPr>
      </w:pPr>
      <w:r>
        <w:rPr>
          <w:color w:val="000000"/>
        </w:rPr>
        <w:t>Of course,</w:t>
      </w:r>
      <w:r w:rsidR="000A0B78">
        <w:rPr>
          <w:color w:val="000000"/>
        </w:rPr>
        <w:t xml:space="preserve"> the</w:t>
      </w:r>
      <w:r>
        <w:rPr>
          <w:color w:val="000000"/>
        </w:rPr>
        <w:t xml:space="preserve"> energy transition will not and cannot happen overnight. Many Vermonters are tied to investments they made in fossil vehicles or heating systems, with no choice but to keep using them in the near term. Instead, </w:t>
      </w:r>
      <w:r w:rsidR="005435A4">
        <w:rPr>
          <w:color w:val="000000"/>
        </w:rPr>
        <w:t>a</w:t>
      </w:r>
      <w:r>
        <w:rPr>
          <w:color w:val="000000"/>
        </w:rPr>
        <w:t xml:space="preserve"> cost-effective and practical approach is to focus on the next point of purchase: that time—whether one, five, or ten years away—when a piece of equipment reaches the end of its life and needs to be replaced anyway. When that situation comes, we </w:t>
      </w:r>
      <w:r w:rsidR="005435A4">
        <w:rPr>
          <w:color w:val="000000"/>
        </w:rPr>
        <w:t xml:space="preserve">should </w:t>
      </w:r>
      <w:r>
        <w:rPr>
          <w:color w:val="000000"/>
        </w:rPr>
        <w:t>use multiple policy, program, and incentive-based tools to equitably help people choose clean transportation and heating options and discourage locking in decades more of fossil fuel dependence that we can no longer afford—for consumer protection, health, and climate reasons.</w:t>
      </w:r>
    </w:p>
    <w:p w14:paraId="7C00E486" w14:textId="77777777" w:rsidR="00E618D6" w:rsidRDefault="00E618D6" w:rsidP="00481A17">
      <w:pPr>
        <w:pStyle w:val="NormalWeb"/>
        <w:shd w:val="clear" w:color="auto" w:fill="FFFFFF"/>
        <w:spacing w:before="0" w:beforeAutospacing="0" w:after="0" w:afterAutospacing="0" w:line="360" w:lineRule="auto"/>
        <w:rPr>
          <w:rFonts w:ascii="Arial" w:hAnsi="Arial" w:cs="Arial"/>
          <w:color w:val="000000"/>
        </w:rPr>
      </w:pPr>
      <w:r>
        <w:rPr>
          <w:rFonts w:ascii="Arial" w:hAnsi="Arial" w:cs="Arial"/>
          <w:color w:val="000000"/>
        </w:rPr>
        <w:t> </w:t>
      </w:r>
    </w:p>
    <w:p w14:paraId="494BE536" w14:textId="01369D8A" w:rsidR="00E618D6" w:rsidRDefault="005435A4" w:rsidP="00481A17">
      <w:pPr>
        <w:pStyle w:val="NormalWeb"/>
        <w:shd w:val="clear" w:color="auto" w:fill="FFFFFF"/>
        <w:spacing w:before="0" w:beforeAutospacing="0" w:after="0" w:afterAutospacing="0" w:line="360" w:lineRule="auto"/>
        <w:rPr>
          <w:rFonts w:ascii="Arial" w:hAnsi="Arial" w:cs="Arial"/>
          <w:color w:val="000000"/>
        </w:rPr>
      </w:pPr>
      <w:r>
        <w:rPr>
          <w:color w:val="000000"/>
        </w:rPr>
        <w:t>It’s not just utilities</w:t>
      </w:r>
      <w:r w:rsidR="002D4EC6">
        <w:rPr>
          <w:color w:val="000000"/>
        </w:rPr>
        <w:t>, electricians,</w:t>
      </w:r>
      <w:r>
        <w:rPr>
          <w:color w:val="000000"/>
        </w:rPr>
        <w:t xml:space="preserve"> </w:t>
      </w:r>
      <w:r w:rsidR="001D375F">
        <w:rPr>
          <w:color w:val="000000"/>
        </w:rPr>
        <w:t xml:space="preserve">and </w:t>
      </w:r>
      <w:r>
        <w:rPr>
          <w:color w:val="000000"/>
        </w:rPr>
        <w:t xml:space="preserve">HVAC professionals who stand to benefit from this transition. Delivering efficient and clean energy services can also be a </w:t>
      </w:r>
      <w:r w:rsidR="00E618D6">
        <w:rPr>
          <w:color w:val="000000"/>
        </w:rPr>
        <w:t xml:space="preserve">major opportunity for local businesses that have historically sold fossil fuels and serviced heating equipment. Thankfully, there are </w:t>
      </w:r>
      <w:r w:rsidR="00F01341">
        <w:rPr>
          <w:color w:val="000000"/>
        </w:rPr>
        <w:t xml:space="preserve">some </w:t>
      </w:r>
      <w:r w:rsidR="00E618D6">
        <w:rPr>
          <w:color w:val="000000"/>
        </w:rPr>
        <w:t xml:space="preserve">forward looking energy service providers (which used to </w:t>
      </w:r>
      <w:r w:rsidR="00D25885">
        <w:rPr>
          <w:color w:val="000000"/>
        </w:rPr>
        <w:t xml:space="preserve">call themselves </w:t>
      </w:r>
      <w:r w:rsidR="00E618D6">
        <w:rPr>
          <w:color w:val="000000"/>
        </w:rPr>
        <w:t>fuel dealers)</w:t>
      </w:r>
      <w:r w:rsidR="006D7165" w:rsidDel="006D7165">
        <w:rPr>
          <w:color w:val="000000"/>
        </w:rPr>
        <w:t xml:space="preserve"> </w:t>
      </w:r>
      <w:r w:rsidR="00E618D6">
        <w:rPr>
          <w:color w:val="000000"/>
        </w:rPr>
        <w:t>that are already shifting their business models to sell less fossil fuel by providing weatherization, wood pellet delivery, B100 biodiesel, and/or heat pump installation services. Similarly, VGS is expanding weatherization services and increasing the amount of renewable natural gas in their system. </w:t>
      </w:r>
    </w:p>
    <w:p w14:paraId="6F1598AC" w14:textId="48C01F60" w:rsidR="00885951" w:rsidRDefault="00E618D6" w:rsidP="00481A17">
      <w:pPr>
        <w:pStyle w:val="NormalWeb"/>
        <w:shd w:val="clear" w:color="auto" w:fill="FFFFFF"/>
        <w:spacing w:before="0" w:beforeAutospacing="0" w:after="0" w:afterAutospacing="0" w:line="360" w:lineRule="auto"/>
        <w:rPr>
          <w:rFonts w:ascii="Arial" w:hAnsi="Arial" w:cs="Arial"/>
          <w:color w:val="000000"/>
        </w:rPr>
      </w:pPr>
      <w:r>
        <w:rPr>
          <w:color w:val="222222"/>
        </w:rPr>
        <w:t> </w:t>
      </w:r>
    </w:p>
    <w:p w14:paraId="39CA38FC" w14:textId="64C842FA" w:rsidR="00E618D6" w:rsidRDefault="00E618D6" w:rsidP="00481A17">
      <w:pPr>
        <w:pStyle w:val="NormalWeb"/>
        <w:shd w:val="clear" w:color="auto" w:fill="FFFFFF"/>
        <w:spacing w:before="0" w:beforeAutospacing="0" w:after="0" w:afterAutospacing="0" w:line="360" w:lineRule="auto"/>
        <w:rPr>
          <w:color w:val="000000"/>
        </w:rPr>
      </w:pPr>
      <w:r>
        <w:rPr>
          <w:color w:val="000000"/>
        </w:rPr>
        <w:t>Indeed, while fossil fuels are a proble</w:t>
      </w:r>
      <w:r w:rsidR="002D4EC6">
        <w:rPr>
          <w:color w:val="000000"/>
        </w:rPr>
        <w:t>m</w:t>
      </w:r>
      <w:r>
        <w:rPr>
          <w:color w:val="000000"/>
        </w:rPr>
        <w:t>, the local fuel dealers and utilities who have historically provided them have the opportunity to be part of the solution</w:t>
      </w:r>
      <w:r w:rsidR="007B3170">
        <w:rPr>
          <w:color w:val="000000"/>
        </w:rPr>
        <w:t>, creating new business models that better serve their customers</w:t>
      </w:r>
      <w:r w:rsidR="005435A4">
        <w:rPr>
          <w:color w:val="000000"/>
        </w:rPr>
        <w:t xml:space="preserve">, allowing </w:t>
      </w:r>
      <w:r w:rsidR="007B3170">
        <w:rPr>
          <w:color w:val="000000"/>
        </w:rPr>
        <w:t xml:space="preserve">fuel dealers to have more sustainable business futures. </w:t>
      </w:r>
    </w:p>
    <w:p w14:paraId="71BE6EB2" w14:textId="1849AD92" w:rsidR="003C7BC6" w:rsidRDefault="003C7BC6" w:rsidP="00481A17">
      <w:pPr>
        <w:pStyle w:val="NormalWeb"/>
        <w:shd w:val="clear" w:color="auto" w:fill="FFFFFF"/>
        <w:spacing w:before="0" w:beforeAutospacing="0" w:after="0" w:afterAutospacing="0" w:line="360" w:lineRule="auto"/>
        <w:rPr>
          <w:color w:val="000000"/>
        </w:rPr>
      </w:pPr>
    </w:p>
    <w:p w14:paraId="0025E8A2" w14:textId="596B628C" w:rsidR="00885951" w:rsidRPr="00914741" w:rsidRDefault="003C7BC6" w:rsidP="00481A17">
      <w:pPr>
        <w:pStyle w:val="NormalWeb"/>
        <w:shd w:val="clear" w:color="auto" w:fill="FFFFFF"/>
        <w:spacing w:before="0" w:beforeAutospacing="0" w:after="0" w:afterAutospacing="0" w:line="360" w:lineRule="auto"/>
        <w:rPr>
          <w:color w:val="000000"/>
        </w:rPr>
      </w:pPr>
      <w:r w:rsidRPr="00885951">
        <w:rPr>
          <w:color w:val="000000"/>
        </w:rPr>
        <w:lastRenderedPageBreak/>
        <w:t xml:space="preserve">While VELCO </w:t>
      </w:r>
      <w:r w:rsidR="00F11F03" w:rsidRPr="00885951">
        <w:rPr>
          <w:color w:val="000000"/>
        </w:rPr>
        <w:t xml:space="preserve">reports that our current transmission system is capable of handling high levels of electrification through 2030, significantly </w:t>
      </w:r>
      <w:r w:rsidRPr="00885951">
        <w:rPr>
          <w:color w:val="000000"/>
        </w:rPr>
        <w:t xml:space="preserve">expanding the amount of transportation and thermal energy needs met by electricity will eventually </w:t>
      </w:r>
      <w:r w:rsidR="00F11F03" w:rsidRPr="00885951">
        <w:rPr>
          <w:color w:val="000000"/>
        </w:rPr>
        <w:t xml:space="preserve">necessitate new investments in our </w:t>
      </w:r>
      <w:r w:rsidRPr="00885951">
        <w:rPr>
          <w:color w:val="000000"/>
        </w:rPr>
        <w:t>transmission and distribution</w:t>
      </w:r>
      <w:r w:rsidR="00F11F03" w:rsidRPr="00885951">
        <w:rPr>
          <w:color w:val="000000"/>
        </w:rPr>
        <w:t xml:space="preserve"> system. The extent to which Vermont households and businesses save money via beneficial electrification of transportation and thermal energy use will depend in part on Vermont’s ability to secure low-cost carbon-free electricity resources, as well as efficient and effective demand response and load management strategies. </w:t>
      </w:r>
    </w:p>
    <w:p w14:paraId="6F792F7D" w14:textId="77777777" w:rsidR="002D4EC6" w:rsidRPr="002D4EC6" w:rsidRDefault="002D4EC6" w:rsidP="00481A17">
      <w:pPr>
        <w:pStyle w:val="NormalWeb"/>
        <w:shd w:val="clear" w:color="auto" w:fill="FFFFFF"/>
        <w:spacing w:before="0" w:beforeAutospacing="0" w:after="0" w:afterAutospacing="0" w:line="360" w:lineRule="auto"/>
        <w:rPr>
          <w:rFonts w:ascii="Arial" w:hAnsi="Arial" w:cs="Arial"/>
          <w:color w:val="000000"/>
        </w:rPr>
      </w:pPr>
    </w:p>
    <w:p w14:paraId="5EA6EBC4" w14:textId="55E3012D" w:rsidR="002D4EC6" w:rsidRPr="00D25885" w:rsidRDefault="00F11F03" w:rsidP="00481A17">
      <w:pPr>
        <w:spacing w:line="360" w:lineRule="auto"/>
        <w:rPr>
          <w:rFonts w:ascii="Times New Roman" w:hAnsi="Times New Roman" w:cs="Times New Roman"/>
          <w:sz w:val="24"/>
          <w:szCs w:val="24"/>
          <w:u w:val="single"/>
        </w:rPr>
      </w:pPr>
      <w:r>
        <w:rPr>
          <w:rFonts w:ascii="Times New Roman" w:hAnsi="Times New Roman" w:cs="Times New Roman"/>
          <w:sz w:val="24"/>
          <w:szCs w:val="24"/>
        </w:rPr>
        <w:t>Figur</w:t>
      </w:r>
      <w:r w:rsidR="003C7BC6">
        <w:rPr>
          <w:rFonts w:ascii="Times New Roman" w:hAnsi="Times New Roman" w:cs="Times New Roman"/>
          <w:sz w:val="24"/>
          <w:szCs w:val="24"/>
        </w:rPr>
        <w:t xml:space="preserve">e 6: </w:t>
      </w:r>
      <w:r w:rsidR="003C7BC6" w:rsidRPr="00D25885">
        <w:rPr>
          <w:rFonts w:ascii="Times New Roman" w:hAnsi="Times New Roman" w:cs="Times New Roman"/>
          <w:sz w:val="24"/>
          <w:szCs w:val="24"/>
          <w:u w:val="single"/>
        </w:rPr>
        <w:t>Clean Energy Jobs by Sector, 2014 – 2021</w:t>
      </w:r>
      <w:r w:rsidRPr="00D25885">
        <w:rPr>
          <w:rFonts w:ascii="Times New Roman" w:hAnsi="Times New Roman" w:cs="Times New Roman"/>
          <w:sz w:val="24"/>
          <w:szCs w:val="24"/>
          <w:u w:val="single"/>
        </w:rPr>
        <w:t xml:space="preserve"> </w:t>
      </w:r>
    </w:p>
    <w:p w14:paraId="52B29B24" w14:textId="7F49EADF" w:rsidR="002D4EC6" w:rsidRDefault="003C7BC6" w:rsidP="00481A17">
      <w:pPr>
        <w:spacing w:line="360" w:lineRule="auto"/>
        <w:rPr>
          <w:rFonts w:ascii="Times New Roman" w:hAnsi="Times New Roman" w:cs="Times New Roman"/>
          <w:sz w:val="24"/>
          <w:szCs w:val="24"/>
        </w:rPr>
      </w:pPr>
      <w:r w:rsidRPr="003C7BC6">
        <w:rPr>
          <w:rFonts w:ascii="Times New Roman" w:hAnsi="Times New Roman" w:cs="Times New Roman"/>
          <w:noProof/>
          <w:sz w:val="24"/>
          <w:szCs w:val="24"/>
        </w:rPr>
        <w:drawing>
          <wp:inline distT="0" distB="0" distL="0" distR="0" wp14:anchorId="2EBCDC33" wp14:editId="0D77804D">
            <wp:extent cx="3213100" cy="3100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237452" cy="3123658"/>
                    </a:xfrm>
                    <a:prstGeom prst="rect">
                      <a:avLst/>
                    </a:prstGeom>
                  </pic:spPr>
                </pic:pic>
              </a:graphicData>
            </a:graphic>
          </wp:inline>
        </w:drawing>
      </w:r>
    </w:p>
    <w:p w14:paraId="51C45EAD" w14:textId="6DFE6C93" w:rsidR="00885951" w:rsidRPr="00E55417" w:rsidRDefault="00885951" w:rsidP="00481A17">
      <w:pPr>
        <w:spacing w:line="360" w:lineRule="auto"/>
        <w:rPr>
          <w:rFonts w:ascii="Times New Roman" w:hAnsi="Times New Roman" w:cs="Times New Roman"/>
          <w:sz w:val="24"/>
          <w:szCs w:val="24"/>
        </w:rPr>
      </w:pPr>
      <w:r w:rsidRPr="005435A4">
        <w:rPr>
          <w:rFonts w:ascii="Times New Roman" w:hAnsi="Times New Roman" w:cs="Times New Roman"/>
          <w:sz w:val="24"/>
          <w:szCs w:val="24"/>
        </w:rPr>
        <w:t xml:space="preserve">The Clean Energy Industry Report has tracked Vermont employment in the clean energy sectors since 2014.  </w:t>
      </w:r>
      <w:r>
        <w:rPr>
          <w:rFonts w:ascii="Times New Roman" w:hAnsi="Times New Roman" w:cs="Times New Roman"/>
          <w:sz w:val="24"/>
          <w:szCs w:val="24"/>
        </w:rPr>
        <w:t>As of 2020, clean energy jobs made up about 6% of total employment in Vermont.</w:t>
      </w:r>
      <w:r w:rsidR="00244D1D">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Generally speaking, the median wage for clean energy jobs (approx. $27/hour) is much better paying than the statewide median wage (approx. $19/hour).</w:t>
      </w:r>
      <w:r w:rsidR="00244D1D">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Meeting our climate commitments via investments in energy efficiency and clean energy can be a win-win-win for Vermont consumers, the Vermont economy, and Vermont workers. </w:t>
      </w:r>
    </w:p>
    <w:sectPr w:rsidR="00885951" w:rsidRPr="00E55417" w:rsidSect="00BC07AC">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6C21" w14:textId="77777777" w:rsidR="0050680C" w:rsidRDefault="0050680C" w:rsidP="00066BA1">
      <w:pPr>
        <w:spacing w:after="0" w:line="240" w:lineRule="auto"/>
      </w:pPr>
      <w:r>
        <w:separator/>
      </w:r>
    </w:p>
  </w:endnote>
  <w:endnote w:type="continuationSeparator" w:id="0">
    <w:p w14:paraId="4444CCA0" w14:textId="77777777" w:rsidR="0050680C" w:rsidRDefault="0050680C" w:rsidP="0006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296845"/>
      <w:docPartObj>
        <w:docPartGallery w:val="Page Numbers (Bottom of Page)"/>
        <w:docPartUnique/>
      </w:docPartObj>
    </w:sdtPr>
    <w:sdtEndPr>
      <w:rPr>
        <w:noProof/>
      </w:rPr>
    </w:sdtEndPr>
    <w:sdtContent>
      <w:p w14:paraId="3264731F" w14:textId="0CC6AAC1" w:rsidR="00B65C77" w:rsidRDefault="00B65C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E21894" w14:textId="77777777" w:rsidR="00066BA1" w:rsidRDefault="0006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538D0" w14:textId="77777777" w:rsidR="0050680C" w:rsidRDefault="0050680C" w:rsidP="00066BA1">
      <w:pPr>
        <w:spacing w:after="0" w:line="240" w:lineRule="auto"/>
      </w:pPr>
      <w:r>
        <w:separator/>
      </w:r>
    </w:p>
  </w:footnote>
  <w:footnote w:type="continuationSeparator" w:id="0">
    <w:p w14:paraId="787333A4" w14:textId="77777777" w:rsidR="0050680C" w:rsidRDefault="0050680C" w:rsidP="00066BA1">
      <w:pPr>
        <w:spacing w:after="0" w:line="240" w:lineRule="auto"/>
      </w:pPr>
      <w:r>
        <w:continuationSeparator/>
      </w:r>
    </w:p>
  </w:footnote>
  <w:footnote w:id="1">
    <w:p w14:paraId="4330A328" w14:textId="60766F27" w:rsidR="004F1E0A" w:rsidRPr="004F1E0A" w:rsidRDefault="004F1E0A">
      <w:pPr>
        <w:pStyle w:val="FootnoteText"/>
        <w:rPr>
          <w:rFonts w:ascii="Times New Roman" w:hAnsi="Times New Roman" w:cs="Times New Roman"/>
        </w:rPr>
      </w:pPr>
      <w:r w:rsidRPr="004F1E0A">
        <w:rPr>
          <w:rStyle w:val="FootnoteReference"/>
          <w:rFonts w:ascii="Times New Roman" w:hAnsi="Times New Roman" w:cs="Times New Roman"/>
        </w:rPr>
        <w:footnoteRef/>
      </w:r>
      <w:r w:rsidRPr="004F1E0A">
        <w:rPr>
          <w:rFonts w:ascii="Times New Roman" w:hAnsi="Times New Roman" w:cs="Times New Roman"/>
        </w:rPr>
        <w:t xml:space="preserve"> Note: Data for wood is available on an irregular basis, so this figure represents the estimate for 2018</w:t>
      </w:r>
      <w:r w:rsidR="00B6751C">
        <w:rPr>
          <w:rFonts w:ascii="Times New Roman" w:hAnsi="Times New Roman" w:cs="Times New Roman"/>
        </w:rPr>
        <w:t xml:space="preserve"> from the Department of Forests, Parks, and Recreation</w:t>
      </w:r>
      <w:r w:rsidRPr="004F1E0A">
        <w:rPr>
          <w:rFonts w:ascii="Times New Roman" w:hAnsi="Times New Roman" w:cs="Times New Roman"/>
        </w:rPr>
        <w:t xml:space="preserve">, not the </w:t>
      </w:r>
      <w:r w:rsidR="00B6751C">
        <w:rPr>
          <w:rFonts w:ascii="Times New Roman" w:hAnsi="Times New Roman" w:cs="Times New Roman"/>
        </w:rPr>
        <w:t xml:space="preserve">EIA </w:t>
      </w:r>
      <w:r w:rsidRPr="004F1E0A">
        <w:rPr>
          <w:rFonts w:ascii="Times New Roman" w:hAnsi="Times New Roman" w:cs="Times New Roman"/>
        </w:rPr>
        <w:t xml:space="preserve">average from 2009 – 2018. </w:t>
      </w:r>
    </w:p>
  </w:footnote>
  <w:footnote w:id="2">
    <w:p w14:paraId="23C7801B" w14:textId="12E08159" w:rsidR="0011370B" w:rsidRPr="00D25885" w:rsidRDefault="0011370B">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Note: Total sales in 2018 were lower than the</w:t>
      </w:r>
      <w:r w:rsidR="00C47067" w:rsidRPr="00D25885">
        <w:rPr>
          <w:rFonts w:ascii="Times New Roman" w:hAnsi="Times New Roman" w:cs="Times New Roman"/>
        </w:rPr>
        <w:t xml:space="preserve"> </w:t>
      </w:r>
      <w:r w:rsidRPr="00D25885">
        <w:rPr>
          <w:rFonts w:ascii="Times New Roman" w:hAnsi="Times New Roman" w:cs="Times New Roman"/>
        </w:rPr>
        <w:t xml:space="preserve">10 year average (2009 – 2018), which was: fuel oil: $386 million, propane: $262 million, </w:t>
      </w:r>
      <w:r w:rsidR="004F1E0A" w:rsidRPr="00D25885">
        <w:rPr>
          <w:rFonts w:ascii="Times New Roman" w:hAnsi="Times New Roman" w:cs="Times New Roman"/>
        </w:rPr>
        <w:t>natural gas:</w:t>
      </w:r>
      <w:r w:rsidR="00B6751C" w:rsidRPr="00D25885">
        <w:rPr>
          <w:rFonts w:ascii="Times New Roman" w:hAnsi="Times New Roman" w:cs="Times New Roman"/>
        </w:rPr>
        <w:t xml:space="preserve"> $105 million</w:t>
      </w:r>
      <w:r w:rsidR="004F1E0A" w:rsidRPr="00D25885">
        <w:rPr>
          <w:rFonts w:ascii="Times New Roman" w:hAnsi="Times New Roman" w:cs="Times New Roman"/>
        </w:rPr>
        <w:t xml:space="preserve">, </w:t>
      </w:r>
      <w:r w:rsidRPr="00D25885">
        <w:rPr>
          <w:rFonts w:ascii="Times New Roman" w:hAnsi="Times New Roman" w:cs="Times New Roman"/>
        </w:rPr>
        <w:t>electricity: $784 million</w:t>
      </w:r>
      <w:r w:rsidR="004F1E0A" w:rsidRPr="00D25885">
        <w:rPr>
          <w:rFonts w:ascii="Times New Roman" w:hAnsi="Times New Roman" w:cs="Times New Roman"/>
        </w:rPr>
        <w:t xml:space="preserve">, gasoline: $938 million, </w:t>
      </w:r>
      <w:r w:rsidR="00B6751C" w:rsidRPr="00D25885">
        <w:rPr>
          <w:rFonts w:ascii="Times New Roman" w:hAnsi="Times New Roman" w:cs="Times New Roman"/>
        </w:rPr>
        <w:t xml:space="preserve">and </w:t>
      </w:r>
      <w:r w:rsidR="004F1E0A" w:rsidRPr="00D25885">
        <w:rPr>
          <w:rFonts w:ascii="Times New Roman" w:hAnsi="Times New Roman" w:cs="Times New Roman"/>
        </w:rPr>
        <w:t>diesel</w:t>
      </w:r>
      <w:r w:rsidR="00B6751C" w:rsidRPr="00D25885">
        <w:rPr>
          <w:rFonts w:ascii="Times New Roman" w:hAnsi="Times New Roman" w:cs="Times New Roman"/>
        </w:rPr>
        <w:t>: $238 million</w:t>
      </w:r>
      <w:r w:rsidR="004F1E0A" w:rsidRPr="00D25885">
        <w:rPr>
          <w:rFonts w:ascii="Times New Roman" w:hAnsi="Times New Roman" w:cs="Times New Roman"/>
        </w:rPr>
        <w:t xml:space="preserve">. </w:t>
      </w:r>
    </w:p>
  </w:footnote>
  <w:footnote w:id="3">
    <w:p w14:paraId="24B1E265" w14:textId="7D093C65"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The percent economic activity varies with the commodity price of fossil fuels. Higher commodity prices result in lower in-state percent activity.</w:t>
      </w:r>
      <w:r w:rsidR="00132DE9" w:rsidRPr="00D25885">
        <w:rPr>
          <w:rFonts w:ascii="Times New Roman" w:hAnsi="Times New Roman" w:cs="Times New Roman"/>
        </w:rPr>
        <w:t xml:space="preserve"> Note: these figures have been </w:t>
      </w:r>
      <w:r w:rsidR="004F1E0A" w:rsidRPr="00D25885">
        <w:rPr>
          <w:rFonts w:ascii="Times New Roman" w:hAnsi="Times New Roman" w:cs="Times New Roman"/>
        </w:rPr>
        <w:t>updated</w:t>
      </w:r>
      <w:r w:rsidR="00244D1D" w:rsidRPr="00D25885">
        <w:rPr>
          <w:rFonts w:ascii="Times New Roman" w:hAnsi="Times New Roman" w:cs="Times New Roman"/>
        </w:rPr>
        <w:t xml:space="preserve"> with additional information</w:t>
      </w:r>
      <w:r w:rsidR="004F1E0A" w:rsidRPr="00D25885">
        <w:rPr>
          <w:rFonts w:ascii="Times New Roman" w:hAnsi="Times New Roman" w:cs="Times New Roman"/>
        </w:rPr>
        <w:t xml:space="preserve"> </w:t>
      </w:r>
      <w:r w:rsidR="00244D1D" w:rsidRPr="00D25885">
        <w:rPr>
          <w:rFonts w:ascii="Times New Roman" w:hAnsi="Times New Roman" w:cs="Times New Roman"/>
        </w:rPr>
        <w:t xml:space="preserve">as of November, 2021 and differ </w:t>
      </w:r>
      <w:r w:rsidR="00132DE9" w:rsidRPr="00D25885">
        <w:rPr>
          <w:rFonts w:ascii="Times New Roman" w:hAnsi="Times New Roman" w:cs="Times New Roman"/>
        </w:rPr>
        <w:t>from previous ACCD estimates</w:t>
      </w:r>
      <w:r w:rsidR="004F1E0A" w:rsidRPr="00D25885">
        <w:rPr>
          <w:rFonts w:ascii="Times New Roman" w:hAnsi="Times New Roman" w:cs="Times New Roman"/>
        </w:rPr>
        <w:t xml:space="preserve">. </w:t>
      </w:r>
    </w:p>
  </w:footnote>
  <w:footnote w:id="4">
    <w:p w14:paraId="5746FFFA" w14:textId="77777777"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2018 Quarterly Census of Employment and Wages</w:t>
      </w:r>
    </w:p>
  </w:footnote>
  <w:footnote w:id="5">
    <w:p w14:paraId="59D6F801" w14:textId="77777777"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Many Vermont fuel oil dealers also provide propane services. The employment figure includes both fuel oil and propane delivery services</w:t>
      </w:r>
    </w:p>
  </w:footnote>
  <w:footnote w:id="6">
    <w:p w14:paraId="26F52491" w14:textId="005C442A"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The propane figures may be high. The sales figure is taken from EIA but price estimates may be larger than actual</w:t>
      </w:r>
      <w:r w:rsidR="00132DE9" w:rsidRPr="00D25885">
        <w:rPr>
          <w:rFonts w:ascii="Times New Roman" w:hAnsi="Times New Roman" w:cs="Times New Roman"/>
        </w:rPr>
        <w:t xml:space="preserve">, as described in the propane section of the longer economic chapter in the appendix. </w:t>
      </w:r>
      <w:r w:rsidRPr="00D25885">
        <w:rPr>
          <w:rFonts w:ascii="Times New Roman" w:hAnsi="Times New Roman" w:cs="Times New Roman"/>
        </w:rPr>
        <w:t xml:space="preserve"> </w:t>
      </w:r>
    </w:p>
  </w:footnote>
  <w:footnote w:id="7">
    <w:p w14:paraId="25889F3A" w14:textId="77777777"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Includes a large number of self-employed, sole proprietors</w:t>
      </w:r>
    </w:p>
  </w:footnote>
  <w:footnote w:id="8">
    <w:p w14:paraId="055131AA" w14:textId="77777777"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Include $110 million in Vermont transportation taxes</w:t>
      </w:r>
    </w:p>
  </w:footnote>
  <w:footnote w:id="9">
    <w:p w14:paraId="16EB0613" w14:textId="77777777" w:rsidR="00F447AC" w:rsidRPr="00D25885" w:rsidRDefault="00F447AC" w:rsidP="00F447AC">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Includes other services sold at gasoline stations</w:t>
      </w:r>
    </w:p>
  </w:footnote>
  <w:footnote w:id="10">
    <w:p w14:paraId="2630ECAE" w14:textId="750B5143" w:rsidR="00432481" w:rsidRPr="00D25885" w:rsidRDefault="00432481">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 xml:space="preserve"> See page 18, 2021 EAN Annual Progress Report for Vermont. </w:t>
      </w:r>
      <w:r w:rsidR="00244D1D" w:rsidRPr="00D25885">
        <w:rPr>
          <w:rFonts w:ascii="Times New Roman" w:hAnsi="Times New Roman" w:cs="Times New Roman"/>
        </w:rPr>
        <w:t>https://www.eanvt.org/tracking-progress/annual-progress-report/2021-annual-progress-report/</w:t>
      </w:r>
    </w:p>
  </w:footnote>
  <w:footnote w:id="11">
    <w:p w14:paraId="7938D055" w14:textId="3C3D2D1B" w:rsidR="00621CDC" w:rsidRPr="007507BC" w:rsidRDefault="00621CDC">
      <w:pPr>
        <w:pStyle w:val="FootnoteText"/>
        <w:rPr>
          <w:rFonts w:ascii="Times New Roman" w:hAnsi="Times New Roman" w:cs="Times New Roman"/>
        </w:rPr>
      </w:pPr>
      <w:r w:rsidRPr="007507BC">
        <w:rPr>
          <w:rStyle w:val="FootnoteReference"/>
          <w:rFonts w:ascii="Times New Roman" w:hAnsi="Times New Roman" w:cs="Times New Roman"/>
        </w:rPr>
        <w:footnoteRef/>
      </w:r>
      <w:r w:rsidRPr="007507BC">
        <w:rPr>
          <w:rFonts w:ascii="Times New Roman" w:hAnsi="Times New Roman" w:cs="Times New Roman"/>
        </w:rPr>
        <w:t xml:space="preserve"> Note: </w:t>
      </w:r>
      <w:r w:rsidR="00F01341">
        <w:rPr>
          <w:rFonts w:ascii="Times New Roman" w:hAnsi="Times New Roman" w:cs="Times New Roman"/>
        </w:rPr>
        <w:t xml:space="preserve">potential </w:t>
      </w:r>
      <w:r w:rsidRPr="007507BC">
        <w:rPr>
          <w:rFonts w:ascii="Times New Roman" w:hAnsi="Times New Roman" w:cs="Times New Roman"/>
        </w:rPr>
        <w:t>savings related to use of heat pumps depends on a number of factors</w:t>
      </w:r>
      <w:r w:rsidR="007507BC" w:rsidRPr="007507BC">
        <w:rPr>
          <w:rFonts w:ascii="Times New Roman" w:hAnsi="Times New Roman" w:cs="Times New Roman"/>
        </w:rPr>
        <w:t>, including but not limited to</w:t>
      </w:r>
      <w:r w:rsidRPr="007507BC">
        <w:rPr>
          <w:rFonts w:ascii="Times New Roman" w:hAnsi="Times New Roman" w:cs="Times New Roman"/>
        </w:rPr>
        <w:t xml:space="preserve">: utility territory (i.e., differential electricity rates); </w:t>
      </w:r>
      <w:r w:rsidR="007507BC" w:rsidRPr="007507BC">
        <w:rPr>
          <w:rFonts w:ascii="Times New Roman" w:hAnsi="Times New Roman" w:cs="Times New Roman"/>
        </w:rPr>
        <w:t xml:space="preserve">the fuel it is displacing (i.e., savings potential is greater for fuel oil and propane users, perhaps not for natural gas users) variable efficiencies depending on temperature (i.e. heat pumps are less cost effective when temperatures drop below zero); and proper programming and use. </w:t>
      </w:r>
    </w:p>
  </w:footnote>
  <w:footnote w:id="12">
    <w:p w14:paraId="644E88DC" w14:textId="04FF43EC" w:rsidR="00481A17" w:rsidRPr="00481A17" w:rsidRDefault="00481A17">
      <w:pPr>
        <w:pStyle w:val="FootnoteText"/>
        <w:rPr>
          <w:rFonts w:ascii="Times New Roman" w:hAnsi="Times New Roman" w:cs="Times New Roman"/>
        </w:rPr>
      </w:pPr>
      <w:r w:rsidRPr="00481A17">
        <w:rPr>
          <w:rStyle w:val="FootnoteReference"/>
          <w:rFonts w:ascii="Times New Roman" w:hAnsi="Times New Roman" w:cs="Times New Roman"/>
        </w:rPr>
        <w:footnoteRef/>
      </w:r>
      <w:r w:rsidRPr="00481A17">
        <w:rPr>
          <w:rFonts w:ascii="Times New Roman" w:hAnsi="Times New Roman" w:cs="Times New Roman"/>
        </w:rPr>
        <w:t xml:space="preserve"> https://www.ucsusa.org/about/news/rural-communities-could-benefit-most-electric-vehicles</w:t>
      </w:r>
    </w:p>
  </w:footnote>
  <w:footnote w:id="13">
    <w:p w14:paraId="1695C205" w14:textId="2B35D24C" w:rsidR="00E618D6" w:rsidRDefault="00E618D6">
      <w:pPr>
        <w:pStyle w:val="FootnoteText"/>
      </w:pPr>
      <w:r w:rsidRPr="00D25885">
        <w:rPr>
          <w:rStyle w:val="FootnoteReference"/>
          <w:rFonts w:ascii="Times New Roman" w:hAnsi="Times New Roman" w:cs="Times New Roman"/>
        </w:rPr>
        <w:footnoteRef/>
      </w:r>
      <w:r w:rsidRPr="00D25885">
        <w:rPr>
          <w:rFonts w:ascii="Times New Roman" w:hAnsi="Times New Roman" w:cs="Times New Roman"/>
        </w:rPr>
        <w:t xml:space="preserve"> </w:t>
      </w:r>
      <w:r>
        <w:rPr>
          <w:color w:val="000000"/>
        </w:rPr>
        <w:t xml:space="preserve"> </w:t>
      </w:r>
      <w:r w:rsidRPr="000A0B78">
        <w:rPr>
          <w:rFonts w:ascii="Times New Roman" w:hAnsi="Times New Roman" w:cs="Times New Roman"/>
          <w:color w:val="000000"/>
        </w:rPr>
        <w:t>See the Drive Electric Vermont website to learn more</w:t>
      </w:r>
    </w:p>
  </w:footnote>
  <w:footnote w:id="14">
    <w:p w14:paraId="333D3F78" w14:textId="24193720" w:rsidR="00244D1D" w:rsidRPr="00D25885" w:rsidRDefault="00244D1D">
      <w:pPr>
        <w:pStyle w:val="FootnoteText"/>
        <w:rPr>
          <w:rFonts w:ascii="Times New Roman" w:hAnsi="Times New Roman" w:cs="Times New Roman"/>
        </w:rPr>
      </w:pPr>
      <w:r w:rsidRPr="00D25885">
        <w:rPr>
          <w:rStyle w:val="FootnoteReference"/>
          <w:rFonts w:ascii="Times New Roman" w:hAnsi="Times New Roman" w:cs="Times New Roman"/>
        </w:rPr>
        <w:footnoteRef/>
      </w:r>
      <w:r w:rsidRPr="00D25885">
        <w:rPr>
          <w:rFonts w:ascii="Times New Roman" w:hAnsi="Times New Roman" w:cs="Times New Roman"/>
        </w:rPr>
        <w:t>https://publicservice.vermont.gov/sites/dps/files/documents/Renewable_Energy/CEDF/Reports/2021_VCEIR_FINAL.pdf</w:t>
      </w:r>
    </w:p>
  </w:footnote>
  <w:footnote w:id="15">
    <w:p w14:paraId="10A75E0A" w14:textId="637EFEEF" w:rsidR="00244D1D" w:rsidRDefault="00244D1D">
      <w:pPr>
        <w:pStyle w:val="FootnoteText"/>
      </w:pPr>
      <w:r w:rsidRPr="00D25885">
        <w:rPr>
          <w:rStyle w:val="FootnoteReference"/>
          <w:rFonts w:ascii="Times New Roman" w:hAnsi="Times New Roman" w:cs="Times New Roman"/>
        </w:rPr>
        <w:footnoteRef/>
      </w:r>
      <w:r w:rsidRPr="00D25885">
        <w:rPr>
          <w:rFonts w:ascii="Times New Roman" w:hAnsi="Times New Roman" w:cs="Times New Roman"/>
        </w:rPr>
        <w:t>https</w:t>
      </w:r>
      <w:r w:rsidRPr="00244D1D">
        <w:rPr>
          <w:rFonts w:ascii="Times New Roman" w:hAnsi="Times New Roman" w:cs="Times New Roman"/>
        </w:rPr>
        <w:t>://publicservice.vermont.gov/sites/dps/files/documents/Renewable_Energy/CEDF/Reports/2020%20VCEIR%20Final.pdf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20BD7"/>
    <w:multiLevelType w:val="hybridMultilevel"/>
    <w:tmpl w:val="4F6EBE7C"/>
    <w:lvl w:ilvl="0" w:tplc="5EC06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7C517C"/>
    <w:multiLevelType w:val="hybridMultilevel"/>
    <w:tmpl w:val="7B8634C0"/>
    <w:lvl w:ilvl="0" w:tplc="27C2B188">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DA67B9"/>
    <w:multiLevelType w:val="hybridMultilevel"/>
    <w:tmpl w:val="DDBC2DA6"/>
    <w:lvl w:ilvl="0" w:tplc="38FEE79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626E78"/>
    <w:multiLevelType w:val="multilevel"/>
    <w:tmpl w:val="8FB47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082F00"/>
    <w:multiLevelType w:val="hybridMultilevel"/>
    <w:tmpl w:val="7AC4328A"/>
    <w:lvl w:ilvl="0" w:tplc="14EE560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F2"/>
    <w:rsid w:val="00014A2E"/>
    <w:rsid w:val="000153E8"/>
    <w:rsid w:val="000162E7"/>
    <w:rsid w:val="0004428C"/>
    <w:rsid w:val="00066BA1"/>
    <w:rsid w:val="00083B24"/>
    <w:rsid w:val="000A0B78"/>
    <w:rsid w:val="000A4E64"/>
    <w:rsid w:val="00111299"/>
    <w:rsid w:val="0011370B"/>
    <w:rsid w:val="00125A3C"/>
    <w:rsid w:val="00132DE9"/>
    <w:rsid w:val="0018018F"/>
    <w:rsid w:val="001855FE"/>
    <w:rsid w:val="001C2539"/>
    <w:rsid w:val="001D375F"/>
    <w:rsid w:val="001E532F"/>
    <w:rsid w:val="002157F1"/>
    <w:rsid w:val="00234592"/>
    <w:rsid w:val="00235202"/>
    <w:rsid w:val="00244D1D"/>
    <w:rsid w:val="002474C5"/>
    <w:rsid w:val="002D4EC6"/>
    <w:rsid w:val="002F1E38"/>
    <w:rsid w:val="0031300B"/>
    <w:rsid w:val="003177DC"/>
    <w:rsid w:val="00317EF1"/>
    <w:rsid w:val="00374067"/>
    <w:rsid w:val="00385D97"/>
    <w:rsid w:val="003A1B3C"/>
    <w:rsid w:val="003B71B0"/>
    <w:rsid w:val="003C0F69"/>
    <w:rsid w:val="003C7BC6"/>
    <w:rsid w:val="003F3C13"/>
    <w:rsid w:val="00405CBA"/>
    <w:rsid w:val="0041160A"/>
    <w:rsid w:val="004236DA"/>
    <w:rsid w:val="00432481"/>
    <w:rsid w:val="00432BAF"/>
    <w:rsid w:val="00477668"/>
    <w:rsid w:val="00480FDB"/>
    <w:rsid w:val="00481A17"/>
    <w:rsid w:val="00483DF2"/>
    <w:rsid w:val="004913F4"/>
    <w:rsid w:val="004A1E0E"/>
    <w:rsid w:val="004D47E2"/>
    <w:rsid w:val="004F1E0A"/>
    <w:rsid w:val="0050680C"/>
    <w:rsid w:val="00507720"/>
    <w:rsid w:val="00525296"/>
    <w:rsid w:val="005435A4"/>
    <w:rsid w:val="00563EBA"/>
    <w:rsid w:val="0056475A"/>
    <w:rsid w:val="00573989"/>
    <w:rsid w:val="005B19D0"/>
    <w:rsid w:val="005C3297"/>
    <w:rsid w:val="005E038F"/>
    <w:rsid w:val="005E094D"/>
    <w:rsid w:val="005F3B64"/>
    <w:rsid w:val="00621CDC"/>
    <w:rsid w:val="00631D75"/>
    <w:rsid w:val="00662697"/>
    <w:rsid w:val="00684854"/>
    <w:rsid w:val="006A09C3"/>
    <w:rsid w:val="006D7165"/>
    <w:rsid w:val="007070B8"/>
    <w:rsid w:val="0072067D"/>
    <w:rsid w:val="00737A81"/>
    <w:rsid w:val="007507BC"/>
    <w:rsid w:val="00781009"/>
    <w:rsid w:val="007B3170"/>
    <w:rsid w:val="007B3AAC"/>
    <w:rsid w:val="007F16D4"/>
    <w:rsid w:val="00840D39"/>
    <w:rsid w:val="00846AAD"/>
    <w:rsid w:val="00873A41"/>
    <w:rsid w:val="00876A4E"/>
    <w:rsid w:val="00885951"/>
    <w:rsid w:val="0090063A"/>
    <w:rsid w:val="00953D3C"/>
    <w:rsid w:val="00954F03"/>
    <w:rsid w:val="00963AC2"/>
    <w:rsid w:val="009A5685"/>
    <w:rsid w:val="009B2679"/>
    <w:rsid w:val="009C5121"/>
    <w:rsid w:val="009D10F6"/>
    <w:rsid w:val="009D5DF4"/>
    <w:rsid w:val="00A211CB"/>
    <w:rsid w:val="00A9771D"/>
    <w:rsid w:val="00AA7934"/>
    <w:rsid w:val="00AC1090"/>
    <w:rsid w:val="00AD3F78"/>
    <w:rsid w:val="00AF4DA3"/>
    <w:rsid w:val="00B0719B"/>
    <w:rsid w:val="00B255B7"/>
    <w:rsid w:val="00B45B1E"/>
    <w:rsid w:val="00B65C77"/>
    <w:rsid w:val="00B6751C"/>
    <w:rsid w:val="00B81A45"/>
    <w:rsid w:val="00B935C3"/>
    <w:rsid w:val="00B9562E"/>
    <w:rsid w:val="00BC07AC"/>
    <w:rsid w:val="00BC4503"/>
    <w:rsid w:val="00BE5443"/>
    <w:rsid w:val="00C029E3"/>
    <w:rsid w:val="00C26C14"/>
    <w:rsid w:val="00C4314B"/>
    <w:rsid w:val="00C47067"/>
    <w:rsid w:val="00CF5E6E"/>
    <w:rsid w:val="00D25885"/>
    <w:rsid w:val="00D45CEA"/>
    <w:rsid w:val="00D95F76"/>
    <w:rsid w:val="00DD6F88"/>
    <w:rsid w:val="00DF59C9"/>
    <w:rsid w:val="00E25EF2"/>
    <w:rsid w:val="00E45301"/>
    <w:rsid w:val="00E55417"/>
    <w:rsid w:val="00E618D6"/>
    <w:rsid w:val="00E73085"/>
    <w:rsid w:val="00E771F8"/>
    <w:rsid w:val="00EB0DC2"/>
    <w:rsid w:val="00EB4782"/>
    <w:rsid w:val="00EC4655"/>
    <w:rsid w:val="00EC6A93"/>
    <w:rsid w:val="00EE0EED"/>
    <w:rsid w:val="00F01341"/>
    <w:rsid w:val="00F11F03"/>
    <w:rsid w:val="00F447AC"/>
    <w:rsid w:val="00F70CB9"/>
    <w:rsid w:val="00F735C0"/>
    <w:rsid w:val="00F74E15"/>
    <w:rsid w:val="00F96F87"/>
    <w:rsid w:val="00FE2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B1EA"/>
  <w15:chartTrackingRefBased/>
  <w15:docId w15:val="{63CCC98D-E003-4BA7-949C-278D650E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73989"/>
  </w:style>
  <w:style w:type="paragraph" w:styleId="Header">
    <w:name w:val="header"/>
    <w:basedOn w:val="Normal"/>
    <w:link w:val="HeaderChar"/>
    <w:uiPriority w:val="99"/>
    <w:unhideWhenUsed/>
    <w:rsid w:val="0006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BA1"/>
  </w:style>
  <w:style w:type="paragraph" w:styleId="Footer">
    <w:name w:val="footer"/>
    <w:basedOn w:val="Normal"/>
    <w:link w:val="FooterChar"/>
    <w:uiPriority w:val="99"/>
    <w:unhideWhenUsed/>
    <w:rsid w:val="0006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BA1"/>
  </w:style>
  <w:style w:type="paragraph" w:styleId="FootnoteText">
    <w:name w:val="footnote text"/>
    <w:basedOn w:val="Normal"/>
    <w:link w:val="FootnoteTextChar"/>
    <w:uiPriority w:val="99"/>
    <w:semiHidden/>
    <w:unhideWhenUsed/>
    <w:rsid w:val="00432B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2BAF"/>
    <w:rPr>
      <w:sz w:val="20"/>
      <w:szCs w:val="20"/>
    </w:rPr>
  </w:style>
  <w:style w:type="character" w:styleId="FootnoteReference">
    <w:name w:val="footnote reference"/>
    <w:basedOn w:val="DefaultParagraphFont"/>
    <w:uiPriority w:val="99"/>
    <w:semiHidden/>
    <w:unhideWhenUsed/>
    <w:rsid w:val="00432BAF"/>
    <w:rPr>
      <w:vertAlign w:val="superscript"/>
    </w:rPr>
  </w:style>
  <w:style w:type="character" w:styleId="Hyperlink">
    <w:name w:val="Hyperlink"/>
    <w:basedOn w:val="DefaultParagraphFont"/>
    <w:uiPriority w:val="99"/>
    <w:unhideWhenUsed/>
    <w:rsid w:val="00A9771D"/>
    <w:rPr>
      <w:color w:val="0563C1" w:themeColor="hyperlink"/>
      <w:u w:val="single"/>
    </w:rPr>
  </w:style>
  <w:style w:type="character" w:styleId="UnresolvedMention">
    <w:name w:val="Unresolved Mention"/>
    <w:basedOn w:val="DefaultParagraphFont"/>
    <w:uiPriority w:val="99"/>
    <w:semiHidden/>
    <w:unhideWhenUsed/>
    <w:rsid w:val="00A9771D"/>
    <w:rPr>
      <w:color w:val="605E5C"/>
      <w:shd w:val="clear" w:color="auto" w:fill="E1DFDD"/>
    </w:rPr>
  </w:style>
  <w:style w:type="character" w:styleId="CommentReference">
    <w:name w:val="annotation reference"/>
    <w:basedOn w:val="DefaultParagraphFont"/>
    <w:uiPriority w:val="99"/>
    <w:semiHidden/>
    <w:unhideWhenUsed/>
    <w:rsid w:val="0090063A"/>
    <w:rPr>
      <w:sz w:val="16"/>
      <w:szCs w:val="16"/>
    </w:rPr>
  </w:style>
  <w:style w:type="paragraph" w:styleId="CommentText">
    <w:name w:val="annotation text"/>
    <w:basedOn w:val="Normal"/>
    <w:link w:val="CommentTextChar"/>
    <w:uiPriority w:val="99"/>
    <w:semiHidden/>
    <w:unhideWhenUsed/>
    <w:rsid w:val="0090063A"/>
    <w:pPr>
      <w:spacing w:line="240" w:lineRule="auto"/>
    </w:pPr>
    <w:rPr>
      <w:sz w:val="20"/>
      <w:szCs w:val="20"/>
    </w:rPr>
  </w:style>
  <w:style w:type="character" w:customStyle="1" w:styleId="CommentTextChar">
    <w:name w:val="Comment Text Char"/>
    <w:basedOn w:val="DefaultParagraphFont"/>
    <w:link w:val="CommentText"/>
    <w:uiPriority w:val="99"/>
    <w:semiHidden/>
    <w:rsid w:val="0090063A"/>
    <w:rPr>
      <w:sz w:val="20"/>
      <w:szCs w:val="20"/>
    </w:rPr>
  </w:style>
  <w:style w:type="paragraph" w:styleId="CommentSubject">
    <w:name w:val="annotation subject"/>
    <w:basedOn w:val="CommentText"/>
    <w:next w:val="CommentText"/>
    <w:link w:val="CommentSubjectChar"/>
    <w:uiPriority w:val="99"/>
    <w:semiHidden/>
    <w:unhideWhenUsed/>
    <w:rsid w:val="0090063A"/>
    <w:rPr>
      <w:b/>
      <w:bCs/>
    </w:rPr>
  </w:style>
  <w:style w:type="character" w:customStyle="1" w:styleId="CommentSubjectChar">
    <w:name w:val="Comment Subject Char"/>
    <w:basedOn w:val="CommentTextChar"/>
    <w:link w:val="CommentSubject"/>
    <w:uiPriority w:val="99"/>
    <w:semiHidden/>
    <w:rsid w:val="0090063A"/>
    <w:rPr>
      <w:b/>
      <w:bCs/>
      <w:sz w:val="20"/>
      <w:szCs w:val="20"/>
    </w:rPr>
  </w:style>
  <w:style w:type="paragraph" w:styleId="NormalWeb">
    <w:name w:val="Normal (Web)"/>
    <w:basedOn w:val="Normal"/>
    <w:uiPriority w:val="99"/>
    <w:unhideWhenUsed/>
    <w:rsid w:val="00876A4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4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934"/>
    <w:pPr>
      <w:ind w:left="720"/>
      <w:contextualSpacing/>
    </w:pPr>
  </w:style>
  <w:style w:type="paragraph" w:styleId="Revision">
    <w:name w:val="Revision"/>
    <w:hidden/>
    <w:uiPriority w:val="99"/>
    <w:semiHidden/>
    <w:rsid w:val="007B3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2522">
      <w:bodyDiv w:val="1"/>
      <w:marLeft w:val="0"/>
      <w:marRight w:val="0"/>
      <w:marTop w:val="0"/>
      <w:marBottom w:val="0"/>
      <w:divBdr>
        <w:top w:val="none" w:sz="0" w:space="0" w:color="auto"/>
        <w:left w:val="none" w:sz="0" w:space="0" w:color="auto"/>
        <w:bottom w:val="none" w:sz="0" w:space="0" w:color="auto"/>
        <w:right w:val="none" w:sz="0" w:space="0" w:color="auto"/>
      </w:divBdr>
    </w:div>
    <w:div w:id="432895527">
      <w:bodyDiv w:val="1"/>
      <w:marLeft w:val="0"/>
      <w:marRight w:val="0"/>
      <w:marTop w:val="0"/>
      <w:marBottom w:val="0"/>
      <w:divBdr>
        <w:top w:val="none" w:sz="0" w:space="0" w:color="auto"/>
        <w:left w:val="none" w:sz="0" w:space="0" w:color="auto"/>
        <w:bottom w:val="none" w:sz="0" w:space="0" w:color="auto"/>
        <w:right w:val="none" w:sz="0" w:space="0" w:color="auto"/>
      </w:divBdr>
    </w:div>
    <w:div w:id="550390090">
      <w:bodyDiv w:val="1"/>
      <w:marLeft w:val="0"/>
      <w:marRight w:val="0"/>
      <w:marTop w:val="0"/>
      <w:marBottom w:val="0"/>
      <w:divBdr>
        <w:top w:val="none" w:sz="0" w:space="0" w:color="auto"/>
        <w:left w:val="none" w:sz="0" w:space="0" w:color="auto"/>
        <w:bottom w:val="none" w:sz="0" w:space="0" w:color="auto"/>
        <w:right w:val="none" w:sz="0" w:space="0" w:color="auto"/>
      </w:divBdr>
    </w:div>
    <w:div w:id="678387815">
      <w:bodyDiv w:val="1"/>
      <w:marLeft w:val="0"/>
      <w:marRight w:val="0"/>
      <w:marTop w:val="0"/>
      <w:marBottom w:val="0"/>
      <w:divBdr>
        <w:top w:val="none" w:sz="0" w:space="0" w:color="auto"/>
        <w:left w:val="none" w:sz="0" w:space="0" w:color="auto"/>
        <w:bottom w:val="none" w:sz="0" w:space="0" w:color="auto"/>
        <w:right w:val="none" w:sz="0" w:space="0" w:color="auto"/>
      </w:divBdr>
    </w:div>
    <w:div w:id="766343844">
      <w:bodyDiv w:val="1"/>
      <w:marLeft w:val="0"/>
      <w:marRight w:val="0"/>
      <w:marTop w:val="0"/>
      <w:marBottom w:val="0"/>
      <w:divBdr>
        <w:top w:val="none" w:sz="0" w:space="0" w:color="auto"/>
        <w:left w:val="none" w:sz="0" w:space="0" w:color="auto"/>
        <w:bottom w:val="none" w:sz="0" w:space="0" w:color="auto"/>
        <w:right w:val="none" w:sz="0" w:space="0" w:color="auto"/>
      </w:divBdr>
    </w:div>
    <w:div w:id="1072119122">
      <w:bodyDiv w:val="1"/>
      <w:marLeft w:val="0"/>
      <w:marRight w:val="0"/>
      <w:marTop w:val="0"/>
      <w:marBottom w:val="0"/>
      <w:divBdr>
        <w:top w:val="none" w:sz="0" w:space="0" w:color="auto"/>
        <w:left w:val="none" w:sz="0" w:space="0" w:color="auto"/>
        <w:bottom w:val="none" w:sz="0" w:space="0" w:color="auto"/>
        <w:right w:val="none" w:sz="0" w:space="0" w:color="auto"/>
      </w:divBdr>
      <w:divsChild>
        <w:div w:id="1567455309">
          <w:marLeft w:val="0"/>
          <w:marRight w:val="0"/>
          <w:marTop w:val="0"/>
          <w:marBottom w:val="0"/>
          <w:divBdr>
            <w:top w:val="none" w:sz="0" w:space="0" w:color="auto"/>
            <w:left w:val="none" w:sz="0" w:space="0" w:color="auto"/>
            <w:bottom w:val="none" w:sz="0" w:space="0" w:color="auto"/>
            <w:right w:val="none" w:sz="0" w:space="0" w:color="auto"/>
          </w:divBdr>
          <w:divsChild>
            <w:div w:id="1871145500">
              <w:marLeft w:val="0"/>
              <w:marRight w:val="0"/>
              <w:marTop w:val="0"/>
              <w:marBottom w:val="0"/>
              <w:divBdr>
                <w:top w:val="none" w:sz="0" w:space="0" w:color="auto"/>
                <w:left w:val="none" w:sz="0" w:space="0" w:color="auto"/>
                <w:bottom w:val="none" w:sz="0" w:space="0" w:color="auto"/>
                <w:right w:val="none" w:sz="0" w:space="0" w:color="auto"/>
              </w:divBdr>
              <w:divsChild>
                <w:div w:id="3791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5456">
      <w:bodyDiv w:val="1"/>
      <w:marLeft w:val="0"/>
      <w:marRight w:val="0"/>
      <w:marTop w:val="0"/>
      <w:marBottom w:val="0"/>
      <w:divBdr>
        <w:top w:val="none" w:sz="0" w:space="0" w:color="auto"/>
        <w:left w:val="none" w:sz="0" w:space="0" w:color="auto"/>
        <w:bottom w:val="none" w:sz="0" w:space="0" w:color="auto"/>
        <w:right w:val="none" w:sz="0" w:space="0" w:color="auto"/>
      </w:divBdr>
    </w:div>
    <w:div w:id="1842234064">
      <w:bodyDiv w:val="1"/>
      <w:marLeft w:val="0"/>
      <w:marRight w:val="0"/>
      <w:marTop w:val="0"/>
      <w:marBottom w:val="0"/>
      <w:divBdr>
        <w:top w:val="none" w:sz="0" w:space="0" w:color="auto"/>
        <w:left w:val="none" w:sz="0" w:space="0" w:color="auto"/>
        <w:bottom w:val="none" w:sz="0" w:space="0" w:color="auto"/>
        <w:right w:val="none" w:sz="0" w:space="0" w:color="auto"/>
      </w:divBdr>
      <w:divsChild>
        <w:div w:id="434861832">
          <w:marLeft w:val="0"/>
          <w:marRight w:val="0"/>
          <w:marTop w:val="0"/>
          <w:marBottom w:val="0"/>
          <w:divBdr>
            <w:top w:val="none" w:sz="0" w:space="0" w:color="auto"/>
            <w:left w:val="none" w:sz="0" w:space="0" w:color="auto"/>
            <w:bottom w:val="none" w:sz="0" w:space="0" w:color="auto"/>
            <w:right w:val="none" w:sz="0" w:space="0" w:color="auto"/>
          </w:divBdr>
          <w:divsChild>
            <w:div w:id="517504780">
              <w:marLeft w:val="0"/>
              <w:marRight w:val="0"/>
              <w:marTop w:val="0"/>
              <w:marBottom w:val="0"/>
              <w:divBdr>
                <w:top w:val="none" w:sz="0" w:space="0" w:color="auto"/>
                <w:left w:val="none" w:sz="0" w:space="0" w:color="auto"/>
                <w:bottom w:val="none" w:sz="0" w:space="0" w:color="auto"/>
                <w:right w:val="none" w:sz="0" w:space="0" w:color="auto"/>
              </w:divBdr>
              <w:divsChild>
                <w:div w:id="352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4823">
          <w:marLeft w:val="0"/>
          <w:marRight w:val="0"/>
          <w:marTop w:val="0"/>
          <w:marBottom w:val="0"/>
          <w:divBdr>
            <w:top w:val="none" w:sz="0" w:space="0" w:color="auto"/>
            <w:left w:val="none" w:sz="0" w:space="0" w:color="auto"/>
            <w:bottom w:val="none" w:sz="0" w:space="0" w:color="auto"/>
            <w:right w:val="none" w:sz="0" w:space="0" w:color="auto"/>
          </w:divBdr>
          <w:divsChild>
            <w:div w:id="1851066230">
              <w:marLeft w:val="0"/>
              <w:marRight w:val="0"/>
              <w:marTop w:val="0"/>
              <w:marBottom w:val="0"/>
              <w:divBdr>
                <w:top w:val="none" w:sz="0" w:space="0" w:color="auto"/>
                <w:left w:val="none" w:sz="0" w:space="0" w:color="auto"/>
                <w:bottom w:val="none" w:sz="0" w:space="0" w:color="auto"/>
                <w:right w:val="none" w:sz="0" w:space="0" w:color="auto"/>
              </w:divBdr>
              <w:divsChild>
                <w:div w:id="3657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7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9313593F61B44F878187E7FE8D2D5E" ma:contentTypeVersion="3" ma:contentTypeDescription="Create a new document." ma:contentTypeScope="" ma:versionID="45c737faf75702a76d34aa22fcc661ed">
  <xsd:schema xmlns:xsd="http://www.w3.org/2001/XMLSchema" xmlns:xs="http://www.w3.org/2001/XMLSchema" xmlns:p="http://schemas.microsoft.com/office/2006/metadata/properties" xmlns:ns2="9a4e92bc-da32-48c0-ad27-bd0e0a64a5d1" xmlns:ns3="8b14cf53-5dfd-40b2-a6c0-772a9a24c77d" xmlns:ns4="6b8c8877-4f2b-4684-9e8f-d93efdb3ce36" targetNamespace="http://schemas.microsoft.com/office/2006/metadata/properties" ma:root="true" ma:fieldsID="92a2f245330a4449209260e8bca59186" ns2:_="" ns3:_="" ns4:_="">
    <xsd:import namespace="9a4e92bc-da32-48c0-ad27-bd0e0a64a5d1"/>
    <xsd:import namespace="8b14cf53-5dfd-40b2-a6c0-772a9a24c77d"/>
    <xsd:import namespace="6b8c8877-4f2b-4684-9e8f-d93efdb3ce36"/>
    <xsd:element name="properties">
      <xsd:complexType>
        <xsd:sequence>
          <xsd:element name="documentManagement">
            <xsd:complexType>
              <xsd:all>
                <xsd:element ref="ns2:Categories0" minOccurs="0"/>
                <xsd:element ref="ns2:Subcommittee_x0020_or_x0020_Climate_x0020_Council"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e92bc-da32-48c0-ad27-bd0e0a64a5d1"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None)"/>
          <xsd:enumeration value="Agendas"/>
          <xsd:enumeration value="Minutes"/>
          <xsd:enumeration value="Presentations"/>
          <xsd:enumeration value="Climate Action Plan Documents"/>
          <xsd:enumeration value="Reports"/>
          <xsd:enumeration value="Public Engagement"/>
          <xsd:enumeration value="Templates"/>
        </xsd:restriction>
      </xsd:simpleType>
    </xsd:element>
    <xsd:element name="Subcommittee_x0020_or_x0020_Climate_x0020_Council" ma:index="9" nillable="true" ma:displayName="Subcommittee or Climate Council" ma:default="Climate Council" ma:format="RadioButtons" ma:internalName="Subcommittee_x0020_or_x0020_Climate_x0020_Council">
      <xsd:simpleType>
        <xsd:restriction base="dms:Choice">
          <xsd:enumeration value="Climate Council"/>
          <xsd:enumeration value="Agriculture &amp; Ecosystems"/>
          <xsd:enumeration value="Cross-Sector Mitigation"/>
          <xsd:enumeration value="Just Transitions"/>
          <xsd:enumeration value="Science &amp; Data"/>
          <xsd:enumeration value="Rural Resilience &amp; Adaptation"/>
          <xsd:enumeration value="Steering Committee"/>
        </xsd:restriction>
      </xsd:simpleType>
    </xsd:element>
  </xsd:schema>
  <xsd:schema xmlns:xsd="http://www.w3.org/2001/XMLSchema" xmlns:xs="http://www.w3.org/2001/XMLSchema" xmlns:dms="http://schemas.microsoft.com/office/2006/documentManagement/types" xmlns:pc="http://schemas.microsoft.com/office/infopath/2007/PartnerControls" targetNamespace="8b14cf53-5dfd-40b2-a6c0-772a9a24c7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8c8877-4f2b-4684-9e8f-d93efdb3ce36"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committee_x0020_or_x0020_Climate_x0020_Council xmlns="9a4e92bc-da32-48c0-ad27-bd0e0a64a5d1">Climate Council</Subcommittee_x0020_or_x0020_Climate_x0020_Council>
    <Categories0 xmlns="9a4e92bc-da32-48c0-ad27-bd0e0a64a5d1" xsi:nil="true"/>
    <_dlc_DocId xmlns="6b8c8877-4f2b-4684-9e8f-d93efdb3ce36">XZ5MDUCQQUAD-1681286903-297</_dlc_DocId>
    <_dlc_DocIdUrl xmlns="6b8c8877-4f2b-4684-9e8f-d93efdb3ce36">
      <Url>https://outside.vermont.gov/agency/anr/climatecouncil/_layouts/15/DocIdRedir.aspx?ID=XZ5MDUCQQUAD-1681286903-297</Url>
      <Description>XZ5MDUCQQUAD-1681286903-297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6336A59-ACA4-4907-83B9-5E5D627D79DB}">
  <ds:schemaRefs>
    <ds:schemaRef ds:uri="http://schemas.openxmlformats.org/officeDocument/2006/bibliography"/>
  </ds:schemaRefs>
</ds:datastoreItem>
</file>

<file path=customXml/itemProps2.xml><?xml version="1.0" encoding="utf-8"?>
<ds:datastoreItem xmlns:ds="http://schemas.openxmlformats.org/officeDocument/2006/customXml" ds:itemID="{E51493DA-CCC9-485D-B7D3-7E6F009788E2}"/>
</file>

<file path=customXml/itemProps3.xml><?xml version="1.0" encoding="utf-8"?>
<ds:datastoreItem xmlns:ds="http://schemas.openxmlformats.org/officeDocument/2006/customXml" ds:itemID="{4635F7E8-28FA-4EAC-91FE-610B555C21C3}">
  <ds:schemaRefs>
    <ds:schemaRef ds:uri="http://schemas.microsoft.com/office/2006/metadata/properties"/>
    <ds:schemaRef ds:uri="http://schemas.microsoft.com/office/infopath/2007/PartnerControls"/>
    <ds:schemaRef ds:uri="7d743216-83a6-43f0-a5ed-e062d3d47d26"/>
  </ds:schemaRefs>
</ds:datastoreItem>
</file>

<file path=customXml/itemProps4.xml><?xml version="1.0" encoding="utf-8"?>
<ds:datastoreItem xmlns:ds="http://schemas.openxmlformats.org/officeDocument/2006/customXml" ds:itemID="{916E23C7-7944-4C6B-A4D6-E5DCA702EDFC}">
  <ds:schemaRefs>
    <ds:schemaRef ds:uri="http://schemas.microsoft.com/sharepoint/v3/contenttype/forms"/>
  </ds:schemaRefs>
</ds:datastoreItem>
</file>

<file path=customXml/itemProps5.xml><?xml version="1.0" encoding="utf-8"?>
<ds:datastoreItem xmlns:ds="http://schemas.openxmlformats.org/officeDocument/2006/customXml" ds:itemID="{846BBB01-3738-4D87-92A2-F265FF57FF6C}"/>
</file>

<file path=docProps/app.xml><?xml version="1.0" encoding="utf-8"?>
<Properties xmlns="http://schemas.openxmlformats.org/officeDocument/2006/extended-properties" xmlns:vt="http://schemas.openxmlformats.org/officeDocument/2006/docPropsVTypes">
  <Template>Normal</Template>
  <TotalTime>3</TotalTime>
  <Pages>7</Pages>
  <Words>1838</Words>
  <Characters>9433</Characters>
  <Application>Microsoft Office Word</Application>
  <DocSecurity>0</DocSecurity>
  <Lines>230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 Walter</dc:creator>
  <cp:keywords/>
  <dc:description/>
  <cp:lastModifiedBy>Lazorchak, Jane</cp:lastModifiedBy>
  <cp:revision>4</cp:revision>
  <dcterms:created xsi:type="dcterms:W3CDTF">2021-11-09T16:53:00Z</dcterms:created>
  <dcterms:modified xsi:type="dcterms:W3CDTF">2021-11-10T19:29:00Z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0x0101007C9313593F61B44F878187E7FE8D2D5E</vt:lpwstr>
  </property>
  <property fmtid="{D5CDD505-2E9C-101B-9397-08002B2CF9AE}" pid="3" name="_dlc_DocIdItemGuid">
    <vt:lpwstr>0331d382-d2df-4fb4-bd86-02019d6c8441</vt:lpwstr>
  </property>
</Properties>
</file>