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CA7" w:rsidRPr="0010618F" w:rsidRDefault="00F73CA7" w:rsidP="00F73CA7">
      <w:pPr>
        <w:jc w:val="center"/>
        <w:rPr>
          <w:b/>
          <w:sz w:val="28"/>
          <w:szCs w:val="28"/>
        </w:rPr>
      </w:pPr>
      <w:r w:rsidRPr="0010618F">
        <w:rPr>
          <w:b/>
          <w:sz w:val="28"/>
          <w:szCs w:val="28"/>
        </w:rPr>
        <w:t>D</w:t>
      </w:r>
      <w:r w:rsidR="0010618F">
        <w:rPr>
          <w:b/>
          <w:sz w:val="28"/>
          <w:szCs w:val="28"/>
        </w:rPr>
        <w:t>epartment of Economic, Housing and Community Development</w:t>
      </w:r>
      <w:r w:rsidRPr="0010618F">
        <w:rPr>
          <w:b/>
          <w:sz w:val="28"/>
          <w:szCs w:val="28"/>
        </w:rPr>
        <w:t xml:space="preserve"> (DEHCD)</w:t>
      </w:r>
    </w:p>
    <w:p w:rsidR="00F73CA7" w:rsidRPr="0010618F" w:rsidRDefault="0010618F" w:rsidP="00F73CA7">
      <w:pPr>
        <w:jc w:val="center"/>
        <w:rPr>
          <w:b/>
          <w:bCs/>
          <w:sz w:val="28"/>
          <w:szCs w:val="28"/>
        </w:rPr>
      </w:pPr>
      <w:r>
        <w:rPr>
          <w:b/>
          <w:bCs/>
          <w:sz w:val="28"/>
          <w:szCs w:val="28"/>
        </w:rPr>
        <w:t>Fiscal Year</w:t>
      </w:r>
      <w:r w:rsidR="00F73CA7" w:rsidRPr="0010618F">
        <w:rPr>
          <w:b/>
          <w:bCs/>
          <w:sz w:val="28"/>
          <w:szCs w:val="28"/>
        </w:rPr>
        <w:t xml:space="preserve"> 20</w:t>
      </w:r>
      <w:r w:rsidR="00721FAA">
        <w:rPr>
          <w:b/>
          <w:bCs/>
          <w:sz w:val="28"/>
          <w:szCs w:val="28"/>
        </w:rPr>
        <w:t>13</w:t>
      </w:r>
      <w:r w:rsidR="00F73CA7" w:rsidRPr="0010618F">
        <w:rPr>
          <w:b/>
          <w:bCs/>
          <w:sz w:val="28"/>
          <w:szCs w:val="28"/>
        </w:rPr>
        <w:t xml:space="preserve"> </w:t>
      </w:r>
      <w:r>
        <w:rPr>
          <w:b/>
          <w:bCs/>
          <w:sz w:val="28"/>
          <w:szCs w:val="28"/>
        </w:rPr>
        <w:t>Budget</w:t>
      </w:r>
    </w:p>
    <w:p w:rsidR="00F73CA7" w:rsidRPr="0010618F" w:rsidRDefault="00F73CA7" w:rsidP="00F73CA7">
      <w:pPr>
        <w:jc w:val="center"/>
        <w:rPr>
          <w:b/>
          <w:bCs/>
          <w:sz w:val="28"/>
          <w:szCs w:val="28"/>
        </w:rPr>
      </w:pPr>
      <w:r w:rsidRPr="0010618F">
        <w:rPr>
          <w:b/>
          <w:bCs/>
          <w:sz w:val="28"/>
          <w:szCs w:val="28"/>
        </w:rPr>
        <w:t>S</w:t>
      </w:r>
      <w:r w:rsidR="0010618F">
        <w:rPr>
          <w:b/>
          <w:bCs/>
          <w:sz w:val="28"/>
          <w:szCs w:val="28"/>
        </w:rPr>
        <w:t>trategic Overview and Program</w:t>
      </w:r>
      <w:r w:rsidRPr="0010618F">
        <w:rPr>
          <w:b/>
          <w:bCs/>
          <w:sz w:val="28"/>
          <w:szCs w:val="28"/>
        </w:rPr>
        <w:t xml:space="preserve"> P</w:t>
      </w:r>
      <w:r w:rsidR="0010618F">
        <w:rPr>
          <w:b/>
          <w:bCs/>
          <w:sz w:val="28"/>
          <w:szCs w:val="28"/>
        </w:rPr>
        <w:t>erformance</w:t>
      </w:r>
      <w:r w:rsidRPr="0010618F">
        <w:rPr>
          <w:b/>
          <w:bCs/>
          <w:sz w:val="28"/>
          <w:szCs w:val="28"/>
        </w:rPr>
        <w:t xml:space="preserve"> N</w:t>
      </w:r>
      <w:r w:rsidR="0010618F">
        <w:rPr>
          <w:b/>
          <w:bCs/>
          <w:sz w:val="28"/>
          <w:szCs w:val="28"/>
        </w:rPr>
        <w:t>arrative</w:t>
      </w:r>
    </w:p>
    <w:p w:rsidR="00413BFB" w:rsidRDefault="00413BFB" w:rsidP="003D499C">
      <w:pPr>
        <w:jc w:val="center"/>
      </w:pPr>
    </w:p>
    <w:p w:rsidR="009A0A14" w:rsidRPr="009A0A14" w:rsidRDefault="009A0A14">
      <w:pPr>
        <w:rPr>
          <w:b/>
          <w:i/>
          <w:sz w:val="26"/>
          <w:szCs w:val="26"/>
        </w:rPr>
      </w:pPr>
      <w:r w:rsidRPr="009A0A14">
        <w:rPr>
          <w:b/>
          <w:i/>
          <w:sz w:val="26"/>
          <w:szCs w:val="26"/>
        </w:rPr>
        <w:t>STRATEGIC OVERVIEW</w:t>
      </w:r>
    </w:p>
    <w:p w:rsidR="009A0A14" w:rsidRPr="009A0A14" w:rsidRDefault="009A0A14" w:rsidP="009A0A14">
      <w:pPr>
        <w:rPr>
          <w:b/>
        </w:rPr>
      </w:pPr>
    </w:p>
    <w:p w:rsidR="0010618F" w:rsidRPr="009A0A14" w:rsidRDefault="00AF49AB" w:rsidP="002F5B01">
      <w:pPr>
        <w:numPr>
          <w:ilvl w:val="0"/>
          <w:numId w:val="6"/>
        </w:numPr>
        <w:ind w:left="360"/>
        <w:rPr>
          <w:b/>
        </w:rPr>
      </w:pPr>
      <w:r w:rsidRPr="009A0A14">
        <w:rPr>
          <w:b/>
        </w:rPr>
        <w:t>Mission</w:t>
      </w:r>
    </w:p>
    <w:p w:rsidR="0010618F" w:rsidRPr="009A0A14" w:rsidRDefault="0010618F"/>
    <w:p w:rsidR="00C06EF8" w:rsidRPr="009A0A14" w:rsidRDefault="00FE377C" w:rsidP="00FE377C">
      <w:r w:rsidRPr="009A0A14">
        <w:t xml:space="preserve">The mission of the Department of Economic, Housing and Community Development is to </w:t>
      </w:r>
      <w:r w:rsidR="00632E40">
        <w:t xml:space="preserve">improve the lives of Vermonters and </w:t>
      </w:r>
      <w:r w:rsidRPr="009A0A14">
        <w:t xml:space="preserve">further </w:t>
      </w:r>
      <w:r w:rsidR="00F53463">
        <w:t xml:space="preserve">the </w:t>
      </w:r>
      <w:r w:rsidRPr="009A0A14">
        <w:t xml:space="preserve">sustainable development of Vermont communities. </w:t>
      </w:r>
    </w:p>
    <w:p w:rsidR="00C06EF8" w:rsidRPr="009A0A14" w:rsidRDefault="00C06EF8" w:rsidP="00FE377C"/>
    <w:p w:rsidR="00FE377C" w:rsidRPr="009A0A14" w:rsidRDefault="00FE377C" w:rsidP="00FE377C">
      <w:r w:rsidRPr="009A0A14">
        <w:t>We accomplish this through</w:t>
      </w:r>
      <w:r w:rsidR="00C06EF8" w:rsidRPr="009A0A14">
        <w:t xml:space="preserve"> a variety of economic, housing and community development </w:t>
      </w:r>
      <w:r w:rsidR="00F53463">
        <w:t>programs with the goals of:</w:t>
      </w:r>
    </w:p>
    <w:p w:rsidR="00A344A1" w:rsidRPr="009A0A14" w:rsidRDefault="00A344A1" w:rsidP="00FE377C"/>
    <w:p w:rsidR="00FE377C" w:rsidRPr="009A0A14" w:rsidRDefault="00F53463" w:rsidP="00FE377C">
      <w:pPr>
        <w:pStyle w:val="ListParagraph"/>
        <w:numPr>
          <w:ilvl w:val="0"/>
          <w:numId w:val="1"/>
        </w:numPr>
      </w:pPr>
      <w:r>
        <w:t xml:space="preserve">leading a coordinated, </w:t>
      </w:r>
      <w:r w:rsidR="00FE377C" w:rsidRPr="009A0A14">
        <w:t xml:space="preserve">statewide effort to foster the growth of higher quality jobs that will develop a more vital and diverse economy through supporting existing businesses </w:t>
      </w:r>
      <w:r>
        <w:t xml:space="preserve">as well as </w:t>
      </w:r>
      <w:r w:rsidR="00FE377C" w:rsidRPr="009A0A14">
        <w:t xml:space="preserve">attracting new businesses to the state; </w:t>
      </w:r>
    </w:p>
    <w:p w:rsidR="00FE377C" w:rsidRPr="009A0A14" w:rsidRDefault="00FE377C" w:rsidP="00FE377C">
      <w:pPr>
        <w:pStyle w:val="ListParagraph"/>
        <w:numPr>
          <w:ilvl w:val="0"/>
          <w:numId w:val="1"/>
        </w:numPr>
      </w:pPr>
      <w:r w:rsidRPr="009A0A14">
        <w:t>promot</w:t>
      </w:r>
      <w:r w:rsidR="003F5211">
        <w:t xml:space="preserve">ing and supporting the </w:t>
      </w:r>
      <w:r w:rsidRPr="009A0A14">
        <w:t xml:space="preserve">production </w:t>
      </w:r>
      <w:r w:rsidR="003F5211">
        <w:t xml:space="preserve">and preservation </w:t>
      </w:r>
      <w:r w:rsidRPr="009A0A14">
        <w:t xml:space="preserve">of housing that is affordable to all Vermonters; </w:t>
      </w:r>
    </w:p>
    <w:p w:rsidR="009A0A14" w:rsidRDefault="003F5211" w:rsidP="00FE377C">
      <w:pPr>
        <w:pStyle w:val="ListParagraph"/>
        <w:numPr>
          <w:ilvl w:val="0"/>
          <w:numId w:val="1"/>
        </w:numPr>
      </w:pPr>
      <w:r>
        <w:t>advancing</w:t>
      </w:r>
      <w:r w:rsidR="00FE377C" w:rsidRPr="009A0A14">
        <w:t xml:space="preserve"> vibrant communities through preservation of Vermont’s historic downtowns and village centers</w:t>
      </w:r>
      <w:r w:rsidR="009A0A14" w:rsidRPr="009A0A14">
        <w:t xml:space="preserve"> and </w:t>
      </w:r>
      <w:r w:rsidR="004425D0">
        <w:t>enhancement</w:t>
      </w:r>
      <w:r w:rsidR="009A0A14" w:rsidRPr="009A0A14">
        <w:t xml:space="preserve"> of Vermont’s working landscape</w:t>
      </w:r>
    </w:p>
    <w:p w:rsidR="00FE377C" w:rsidRDefault="00FE377C" w:rsidP="00FE377C">
      <w:pPr>
        <w:pStyle w:val="ListParagraph"/>
        <w:numPr>
          <w:ilvl w:val="0"/>
          <w:numId w:val="1"/>
        </w:numPr>
      </w:pPr>
      <w:r w:rsidRPr="009A0A14">
        <w:t>support</w:t>
      </w:r>
      <w:r w:rsidR="003F5211">
        <w:t>ing</w:t>
      </w:r>
      <w:r w:rsidRPr="009A0A14">
        <w:t xml:space="preserve"> sound land use decision making at both the local and regional level; </w:t>
      </w:r>
    </w:p>
    <w:p w:rsidR="003F5211" w:rsidRPr="009A0A14" w:rsidRDefault="003F5211" w:rsidP="00FE377C">
      <w:pPr>
        <w:pStyle w:val="ListParagraph"/>
        <w:numPr>
          <w:ilvl w:val="0"/>
          <w:numId w:val="1"/>
        </w:numPr>
      </w:pPr>
      <w:r>
        <w:t xml:space="preserve">helping cities and towns meet their community development goals while benefitting low and moderate-income residents; </w:t>
      </w:r>
    </w:p>
    <w:p w:rsidR="00FE377C" w:rsidRPr="009A0A14" w:rsidRDefault="00FE377C" w:rsidP="00FE377C">
      <w:pPr>
        <w:pStyle w:val="ListParagraph"/>
        <w:numPr>
          <w:ilvl w:val="0"/>
          <w:numId w:val="1"/>
        </w:numPr>
      </w:pPr>
      <w:r w:rsidRPr="009A0A14">
        <w:t>preserv</w:t>
      </w:r>
      <w:r w:rsidR="003F5211">
        <w:t xml:space="preserve">ing </w:t>
      </w:r>
      <w:r w:rsidRPr="009A0A14">
        <w:t xml:space="preserve">Vermont’s built and archeological heritage; </w:t>
      </w:r>
      <w:r w:rsidR="00A344A1" w:rsidRPr="009A0A14">
        <w:t>and</w:t>
      </w:r>
    </w:p>
    <w:p w:rsidR="00FE377C" w:rsidRPr="009A0A14" w:rsidRDefault="00DC2C9C" w:rsidP="00FE377C">
      <w:pPr>
        <w:pStyle w:val="ListParagraph"/>
        <w:numPr>
          <w:ilvl w:val="0"/>
          <w:numId w:val="1"/>
        </w:numPr>
      </w:pPr>
      <w:r>
        <w:t xml:space="preserve">identifying and protecting </w:t>
      </w:r>
      <w:r w:rsidR="00FE377C" w:rsidRPr="009A0A14">
        <w:t>the state’s historic resources and promot</w:t>
      </w:r>
      <w:r w:rsidR="00DC72FB">
        <w:t>ing</w:t>
      </w:r>
      <w:r w:rsidR="00FE377C" w:rsidRPr="009A0A14">
        <w:t xml:space="preserve"> our state-owned historic sites.</w:t>
      </w:r>
    </w:p>
    <w:p w:rsidR="00AF49AB" w:rsidRDefault="00AF49AB" w:rsidP="00AF49AB"/>
    <w:p w:rsidR="00AF49AB" w:rsidRPr="009A0A14" w:rsidRDefault="00AF49AB" w:rsidP="002F5B01">
      <w:pPr>
        <w:numPr>
          <w:ilvl w:val="0"/>
          <w:numId w:val="6"/>
        </w:numPr>
        <w:ind w:left="360"/>
        <w:rPr>
          <w:b/>
        </w:rPr>
      </w:pPr>
      <w:r w:rsidRPr="009A0A14">
        <w:rPr>
          <w:b/>
        </w:rPr>
        <w:t>Population Served</w:t>
      </w:r>
    </w:p>
    <w:p w:rsidR="00AF49AB" w:rsidRPr="00AF49AB" w:rsidRDefault="00AF49AB" w:rsidP="00AF49AB">
      <w:pPr>
        <w:ind w:left="360"/>
        <w:rPr>
          <w:b/>
        </w:rPr>
      </w:pPr>
    </w:p>
    <w:p w:rsidR="0010618F" w:rsidRDefault="00C06EF8" w:rsidP="00AF49AB">
      <w:r>
        <w:t xml:space="preserve">We serve </w:t>
      </w:r>
      <w:r w:rsidR="003209D3">
        <w:t>all</w:t>
      </w:r>
      <w:r w:rsidR="00963096">
        <w:t xml:space="preserve"> of Vermont as the </w:t>
      </w:r>
      <w:r w:rsidR="003F5211">
        <w:t>d</w:t>
      </w:r>
      <w:r w:rsidR="00F30FC8">
        <w:t xml:space="preserve">epartment touches on key elements important to </w:t>
      </w:r>
      <w:r w:rsidR="00963096">
        <w:t xml:space="preserve">residents </w:t>
      </w:r>
      <w:r w:rsidR="00F30FC8">
        <w:t>– employment, business development, housing options, vibrant communities</w:t>
      </w:r>
      <w:r w:rsidR="00963096">
        <w:t xml:space="preserve">, public facilities and services, accessibility, </w:t>
      </w:r>
      <w:r w:rsidR="00F30FC8">
        <w:t>and quality of place. We serve, supp</w:t>
      </w:r>
      <w:r w:rsidR="005665CF">
        <w:t xml:space="preserve">ort and work with many partners to </w:t>
      </w:r>
      <w:r w:rsidR="00F77B20">
        <w:t>implement our mission</w:t>
      </w:r>
      <w:r w:rsidR="00F30FC8">
        <w:t xml:space="preserve"> including Vermont businesses</w:t>
      </w:r>
      <w:r w:rsidR="0095349A">
        <w:t xml:space="preserve">, entrepreneurs, municipalities, </w:t>
      </w:r>
      <w:r w:rsidR="00864581">
        <w:t>economic and community development organizations, out-of-state businesses for recruitment, low and moderate</w:t>
      </w:r>
      <w:r w:rsidR="005665CF">
        <w:t>-</w:t>
      </w:r>
      <w:r w:rsidR="00864581">
        <w:t>income Vermonters, mobile home residents and park owners, nonprofit housing organizations, downtown revitalization organizations</w:t>
      </w:r>
      <w:r w:rsidR="00030D8D">
        <w:t xml:space="preserve">, and post-secondary </w:t>
      </w:r>
      <w:r w:rsidR="00493A6F">
        <w:t>institutions of higher learning</w:t>
      </w:r>
      <w:r w:rsidR="00864581">
        <w:t>.</w:t>
      </w:r>
      <w:r w:rsidR="00493A6F">
        <w:t xml:space="preserve"> </w:t>
      </w:r>
    </w:p>
    <w:p w:rsidR="00F77B20" w:rsidRDefault="00F77B20"/>
    <w:p w:rsidR="00876247" w:rsidRDefault="00A344A1" w:rsidP="0076537E">
      <w:pPr>
        <w:spacing w:after="200" w:line="276" w:lineRule="auto"/>
        <w:rPr>
          <w:b/>
          <w:sz w:val="26"/>
          <w:szCs w:val="26"/>
        </w:rPr>
      </w:pPr>
      <w:r>
        <w:br w:type="page"/>
      </w:r>
      <w:r w:rsidR="0076537E">
        <w:rPr>
          <w:b/>
        </w:rPr>
        <w:t xml:space="preserve">3. </w:t>
      </w:r>
      <w:r w:rsidR="00876247" w:rsidRPr="00D32E4B">
        <w:rPr>
          <w:b/>
          <w:sz w:val="26"/>
          <w:szCs w:val="26"/>
        </w:rPr>
        <w:t xml:space="preserve"> Outcomes and Measures</w:t>
      </w:r>
    </w:p>
    <w:p w:rsidR="00A10DE9" w:rsidRDefault="001E45F0" w:rsidP="00A10DE9">
      <w:r>
        <w:t>As DEHCD</w:t>
      </w:r>
      <w:r w:rsidR="000401D4" w:rsidRPr="001E45F0">
        <w:t xml:space="preserve"> moves toward the goal of presenting its budget in a results-based format within the new budget system by FY</w:t>
      </w:r>
      <w:r w:rsidR="00CD3DC6">
        <w:t>2015</w:t>
      </w:r>
      <w:r w:rsidR="000401D4" w:rsidRPr="001E45F0">
        <w:t xml:space="preserve">, </w:t>
      </w:r>
      <w:r>
        <w:t>staff will continue to review and re</w:t>
      </w:r>
      <w:r w:rsidR="00D1070A">
        <w:t xml:space="preserve">fine </w:t>
      </w:r>
      <w:r>
        <w:t xml:space="preserve">measures and outcomes to ensure programs are delivering desired results and are in line with the agency’s goals.  Outcomes and measures currently in </w:t>
      </w:r>
      <w:r w:rsidR="004F3413">
        <w:t xml:space="preserve">place are </w:t>
      </w:r>
      <w:r w:rsidR="00765622">
        <w:t xml:space="preserve">included in </w:t>
      </w:r>
      <w:r w:rsidR="004F3413">
        <w:t xml:space="preserve">the </w:t>
      </w:r>
      <w:r w:rsidR="00765622">
        <w:t>program descriptions</w:t>
      </w:r>
      <w:r w:rsidR="004F3413">
        <w:t xml:space="preserve"> that follow</w:t>
      </w:r>
      <w:r w:rsidR="00765622">
        <w:t xml:space="preserve">.  </w:t>
      </w:r>
    </w:p>
    <w:p w:rsidR="00765622" w:rsidRDefault="00765622" w:rsidP="00A10DE9"/>
    <w:p w:rsidR="00AC6646" w:rsidRDefault="00AC6646" w:rsidP="00A10DE9">
      <w:pPr>
        <w:rPr>
          <w:u w:val="single"/>
        </w:rPr>
      </w:pPr>
      <w:r>
        <w:rPr>
          <w:u w:val="single"/>
        </w:rPr>
        <w:t>Tropical Storm Irene</w:t>
      </w:r>
    </w:p>
    <w:p w:rsidR="00AC6646" w:rsidRDefault="00AC6646" w:rsidP="00A10DE9">
      <w:pPr>
        <w:rPr>
          <w:u w:val="single"/>
        </w:rPr>
      </w:pPr>
    </w:p>
    <w:p w:rsidR="00AC6646" w:rsidRDefault="00A10DE9" w:rsidP="00A10DE9">
      <w:r>
        <w:t xml:space="preserve">In addition to the results produced by ongoing programs, DEHCD provided a tremendous benefit to Vermonters in FY2012 by playing a central role in the response </w:t>
      </w:r>
      <w:r w:rsidR="00765622">
        <w:t xml:space="preserve">to </w:t>
      </w:r>
      <w:r>
        <w:t xml:space="preserve">and recovery </w:t>
      </w:r>
      <w:r w:rsidR="00765622">
        <w:t xml:space="preserve">from the devastation of </w:t>
      </w:r>
      <w:r>
        <w:t xml:space="preserve">Tropical Storm Irene.  </w:t>
      </w:r>
      <w:r w:rsidR="00765622">
        <w:t xml:space="preserve">A description of the department’s Irene-related activities follows.   More complete accounts are available in the administration’s Irene Recovery Report and the Agency’s 2011 Annual Report. The demands placed on staff by Irene required the department to adjust its short-term </w:t>
      </w:r>
      <w:r w:rsidR="006B5AF3">
        <w:t>work plan</w:t>
      </w:r>
      <w:r w:rsidR="00AC6646">
        <w:t xml:space="preserve"> and some initiatives were temporarily postponed such as </w:t>
      </w:r>
      <w:r w:rsidR="00765622">
        <w:t>a comprehensive review of the s</w:t>
      </w:r>
      <w:r w:rsidR="00AC6646">
        <w:t>tate’s designation programs, preparation of a statewide economic development strategy and evaluation of mobile home park statutes and programs. Work on some of these initiatives has resumed.  Others are planned</w:t>
      </w:r>
      <w:r w:rsidR="00D2291C">
        <w:t xml:space="preserve"> for late in FY 2102 or FY 2103</w:t>
      </w:r>
      <w:r w:rsidR="006D719F">
        <w:t>.</w:t>
      </w:r>
    </w:p>
    <w:p w:rsidR="006D719F" w:rsidRDefault="006D719F" w:rsidP="00A10DE9"/>
    <w:p w:rsidR="00AC6646" w:rsidRDefault="00AC6646" w:rsidP="00AC6646">
      <w:r>
        <w:t xml:space="preserve">In the first week following the storm, ACCD and DEHCD developed a coordinated response </w:t>
      </w:r>
      <w:r w:rsidRPr="00DE4855">
        <w:t>to the event</w:t>
      </w:r>
      <w:r>
        <w:t xml:space="preserve">. </w:t>
      </w:r>
      <w:r w:rsidR="00D2291C">
        <w:t xml:space="preserve">Lines </w:t>
      </w:r>
      <w:r>
        <w:t xml:space="preserve">of communication </w:t>
      </w:r>
      <w:r w:rsidR="00D2291C">
        <w:t xml:space="preserve">were established </w:t>
      </w:r>
      <w:r>
        <w:t>with FEMA and Vermont Emergency Management</w:t>
      </w:r>
      <w:r w:rsidR="006D719F">
        <w:t>. We</w:t>
      </w:r>
      <w:r>
        <w:t xml:space="preserve"> </w:t>
      </w:r>
      <w:r w:rsidR="00CD19BA">
        <w:t xml:space="preserve">assigned a </w:t>
      </w:r>
      <w:r>
        <w:t xml:space="preserve">staff member </w:t>
      </w:r>
      <w:r w:rsidR="00CD19BA">
        <w:t xml:space="preserve">to the </w:t>
      </w:r>
      <w:r>
        <w:t xml:space="preserve">Joint Field Office, developed a call center at the agency, contacted stakeholders, partners and grantees to determine impacts and target the agency’s response </w:t>
      </w:r>
      <w:r w:rsidR="006D719F">
        <w:t xml:space="preserve">to the </w:t>
      </w:r>
      <w:r>
        <w:t>issues and needs</w:t>
      </w:r>
      <w:r w:rsidR="006D719F">
        <w:t xml:space="preserve"> identified</w:t>
      </w:r>
      <w:r>
        <w:t xml:space="preserve">.  DEHCD engaged in </w:t>
      </w:r>
      <w:r w:rsidR="006D719F">
        <w:t xml:space="preserve">and continues </w:t>
      </w:r>
      <w:r>
        <w:t xml:space="preserve">storm-related work related to housing, economic development, historic resources and land use.  </w:t>
      </w:r>
    </w:p>
    <w:p w:rsidR="00AC6646" w:rsidRDefault="00AC6646" w:rsidP="00AC6646"/>
    <w:p w:rsidR="00AC6646" w:rsidRDefault="004F3413" w:rsidP="00AC6646">
      <w:r>
        <w:t xml:space="preserve">The call-center </w:t>
      </w:r>
      <w:r w:rsidR="00AF5EE6">
        <w:t>was created nearly overnight by the agency’s IT department</w:t>
      </w:r>
      <w:r w:rsidR="00524AA7">
        <w:t xml:space="preserve"> and volunteers from</w:t>
      </w:r>
      <w:r w:rsidR="00AF5EE6">
        <w:t xml:space="preserve"> staff.  It </w:t>
      </w:r>
      <w:r>
        <w:t xml:space="preserve">provided an </w:t>
      </w:r>
      <w:r w:rsidR="00AC6646">
        <w:t>intake system for businesses and rental property owners</w:t>
      </w:r>
      <w:r>
        <w:t xml:space="preserve">, for whom 211 was not an option, to report </w:t>
      </w:r>
      <w:r w:rsidR="006B5AF3">
        <w:t>damages which were</w:t>
      </w:r>
      <w:r>
        <w:t xml:space="preserve"> used to help obtain FEMA assistance.  </w:t>
      </w:r>
      <w:r w:rsidR="00AC6646" w:rsidRPr="006A274F">
        <w:t>Over 220 calls were received and assistance</w:t>
      </w:r>
      <w:r w:rsidR="00AF5EE6">
        <w:t xml:space="preserve"> and follow up w</w:t>
      </w:r>
      <w:r w:rsidR="00AC6646" w:rsidRPr="006A274F">
        <w:t>as provided to each.</w:t>
      </w:r>
      <w:r w:rsidR="00AC6646">
        <w:t xml:space="preserve"> </w:t>
      </w:r>
      <w:r>
        <w:t xml:space="preserve">Staff also worked </w:t>
      </w:r>
      <w:r w:rsidR="00AC6646">
        <w:t xml:space="preserve">with the Preservation Trust of Vermont </w:t>
      </w:r>
      <w:r w:rsidR="00FD6AEB">
        <w:t xml:space="preserve">to </w:t>
      </w:r>
      <w:r w:rsidR="00AF5EE6">
        <w:t>assess</w:t>
      </w:r>
      <w:r w:rsidR="00AC6646">
        <w:t xml:space="preserve"> damage to historic resources in the hardest hit downtowns and villages. That assessment identified over 600 damaged buildings</w:t>
      </w:r>
      <w:r w:rsidR="00D2291C">
        <w:t xml:space="preserve"> in just 30 downtowns or village centers</w:t>
      </w:r>
      <w:r w:rsidR="00AC6646">
        <w:t xml:space="preserve">.  </w:t>
      </w:r>
    </w:p>
    <w:p w:rsidR="00AC6646" w:rsidRPr="006A274F" w:rsidRDefault="00AC6646" w:rsidP="00AC6646"/>
    <w:p w:rsidR="00AC6646" w:rsidRDefault="004F3413" w:rsidP="00AC6646">
      <w:r>
        <w:t xml:space="preserve">DEHCD staff </w:t>
      </w:r>
      <w:r w:rsidR="00AC6646">
        <w:t xml:space="preserve">activated and led two emergency task forces - Housing and Historic </w:t>
      </w:r>
      <w:r w:rsidR="00524AA7">
        <w:t xml:space="preserve">&amp; </w:t>
      </w:r>
      <w:r w:rsidR="00AC6646">
        <w:t>Cultural Resources. The</w:t>
      </w:r>
      <w:r w:rsidR="00CD19BA">
        <w:t xml:space="preserve">y </w:t>
      </w:r>
      <w:r w:rsidR="00AC6646">
        <w:t xml:space="preserve">brought together FEMA, </w:t>
      </w:r>
      <w:r>
        <w:t>s</w:t>
      </w:r>
      <w:r w:rsidR="00AC6646">
        <w:t xml:space="preserve">tate </w:t>
      </w:r>
      <w:r>
        <w:t>a</w:t>
      </w:r>
      <w:r w:rsidR="00AC6646">
        <w:t>gencies, non-profit partners and the private sector to gather and fact check data, determine the greatest need</w:t>
      </w:r>
      <w:r w:rsidR="00C11C5A">
        <w:t xml:space="preserve">, </w:t>
      </w:r>
      <w:r w:rsidR="00AC6646">
        <w:t xml:space="preserve">and chart a short term response as appropriate. </w:t>
      </w:r>
      <w:r>
        <w:t xml:space="preserve">They performed critical functions </w:t>
      </w:r>
      <w:r w:rsidR="00D2291C">
        <w:t>as laid out in the</w:t>
      </w:r>
      <w:r>
        <w:t xml:space="preserve"> state’s emergency operations plan.</w:t>
      </w:r>
      <w:r w:rsidR="004F72DA">
        <w:t xml:space="preserve">  </w:t>
      </w:r>
      <w:r w:rsidR="00CD3DC6">
        <w:t>Agency and economic development staff worked closely with the Small Business Administration to maximize assistance to impacted businesses.</w:t>
      </w:r>
      <w:r w:rsidR="00D2291C">
        <w:t xml:space="preserve"> </w:t>
      </w:r>
      <w:r w:rsidR="006D719F">
        <w:t xml:space="preserve">The </w:t>
      </w:r>
      <w:r w:rsidR="00D2291C">
        <w:t>D</w:t>
      </w:r>
      <w:r w:rsidR="001F57AB">
        <w:t>epartment’s leaders are members of the Irene Recovery Coordination Team.</w:t>
      </w:r>
      <w:r w:rsidR="00AF5EE6">
        <w:t xml:space="preserve"> </w:t>
      </w:r>
      <w:r w:rsidR="001F57AB">
        <w:t>To support impacted communities, DEHCD developed</w:t>
      </w:r>
      <w:r w:rsidR="005279C9">
        <w:t xml:space="preserve"> the Community Recovery Partnership which brings a cross-agency team to towns in a series of meetings to provide information and understand their long-term recovery needs.</w:t>
      </w:r>
      <w:r w:rsidR="00FF7A25">
        <w:t xml:space="preserve"> DEHCD staff and agency staff also created the state’s recovery website </w:t>
      </w:r>
      <w:r w:rsidR="00AA5E09">
        <w:t>–</w:t>
      </w:r>
      <w:r w:rsidR="00DB00F2">
        <w:t xml:space="preserve"> </w:t>
      </w:r>
      <w:hyperlink r:id="rId11" w:history="1">
        <w:r w:rsidR="00AA5E09" w:rsidRPr="004C51A6">
          <w:rPr>
            <w:rStyle w:val="Hyperlink"/>
          </w:rPr>
          <w:t>www.vtStrong.vermont.gov</w:t>
        </w:r>
      </w:hyperlink>
    </w:p>
    <w:p w:rsidR="00CD3DC6" w:rsidRDefault="00CD3DC6" w:rsidP="00A10DE9"/>
    <w:p w:rsidR="00A10DE9" w:rsidRDefault="00CD3DC6" w:rsidP="00A10DE9">
      <w:r>
        <w:t>Outcomes of these efforts include meeting the goal</w:t>
      </w:r>
      <w:r w:rsidR="00746065">
        <w:t>s</w:t>
      </w:r>
      <w:r>
        <w:t xml:space="preserve"> of ensuring all survivors had</w:t>
      </w:r>
      <w:r w:rsidR="00746065">
        <w:t xml:space="preserve"> access to shelter</w:t>
      </w:r>
      <w:r>
        <w:t xml:space="preserve">, </w:t>
      </w:r>
      <w:r w:rsidR="00746065">
        <w:t xml:space="preserve">securing </w:t>
      </w:r>
      <w:r>
        <w:t xml:space="preserve">additional federal resources, </w:t>
      </w:r>
      <w:r w:rsidR="00746065">
        <w:t xml:space="preserve">providing </w:t>
      </w:r>
      <w:r>
        <w:t xml:space="preserve">ongoing support of impacted communities, </w:t>
      </w:r>
      <w:r w:rsidR="00746065">
        <w:t xml:space="preserve">working collaboratively and effectively with </w:t>
      </w:r>
      <w:r w:rsidR="00AF5EE6">
        <w:t>FEMA, SBA,</w:t>
      </w:r>
      <w:r w:rsidR="00614967">
        <w:t xml:space="preserve"> </w:t>
      </w:r>
      <w:r w:rsidR="00746065">
        <w:t>sister state agencies</w:t>
      </w:r>
      <w:r w:rsidR="00CD19BA">
        <w:t xml:space="preserve">, </w:t>
      </w:r>
      <w:r w:rsidR="00AF5EE6">
        <w:t>and communities t</w:t>
      </w:r>
      <w:r w:rsidR="00CD19BA">
        <w:t>o maximize help to Vermonters.</w:t>
      </w:r>
      <w:r w:rsidR="00746065">
        <w:t xml:space="preserve"> The recovery</w:t>
      </w:r>
      <w:r w:rsidR="00CD19BA">
        <w:t xml:space="preserve"> from Irene will take years and DEHCD’s work in this area will continue into FY2013.  </w:t>
      </w:r>
      <w:r>
        <w:t xml:space="preserve"> </w:t>
      </w:r>
      <w:r w:rsidR="00765622">
        <w:t xml:space="preserve"> </w:t>
      </w:r>
    </w:p>
    <w:p w:rsidR="00C97EA9" w:rsidRPr="00653338" w:rsidRDefault="00C97EA9" w:rsidP="00653338">
      <w:pPr>
        <w:autoSpaceDE w:val="0"/>
        <w:autoSpaceDN w:val="0"/>
        <w:adjustRightInd w:val="0"/>
        <w:rPr>
          <w:rFonts w:eastAsiaTheme="minorHAnsi"/>
          <w:bCs/>
          <w:color w:val="000000"/>
          <w:highlight w:val="yellow"/>
        </w:rPr>
      </w:pPr>
    </w:p>
    <w:p w:rsidR="009D04CA" w:rsidRPr="000C5457" w:rsidRDefault="009D04CA" w:rsidP="009D04CA">
      <w:pPr>
        <w:rPr>
          <w:sz w:val="26"/>
          <w:szCs w:val="26"/>
        </w:rPr>
      </w:pPr>
      <w:r>
        <w:rPr>
          <w:b/>
          <w:i/>
          <w:sz w:val="26"/>
          <w:szCs w:val="26"/>
        </w:rPr>
        <w:t>PROGRA</w:t>
      </w:r>
      <w:r w:rsidR="000C5457">
        <w:rPr>
          <w:b/>
          <w:i/>
          <w:sz w:val="26"/>
          <w:szCs w:val="26"/>
        </w:rPr>
        <w:t>M PERFORMANCE INFORMATION</w:t>
      </w:r>
    </w:p>
    <w:p w:rsidR="009D04CA" w:rsidRDefault="009D04CA" w:rsidP="00F73CA7">
      <w:pPr>
        <w:autoSpaceDE w:val="0"/>
        <w:autoSpaceDN w:val="0"/>
        <w:adjustRightInd w:val="0"/>
        <w:rPr>
          <w:rFonts w:eastAsiaTheme="minorHAnsi"/>
          <w:b/>
          <w:bCs/>
          <w:color w:val="000000"/>
        </w:rPr>
      </w:pPr>
    </w:p>
    <w:p w:rsidR="001E45F0" w:rsidRDefault="00100E1C" w:rsidP="001B0A84">
      <w:r>
        <w:t>I</w:t>
      </w:r>
      <w:r w:rsidR="000C5457">
        <w:t xml:space="preserve">n order to provide greater information on the work of </w:t>
      </w:r>
      <w:r w:rsidR="00401444">
        <w:t>DEHCD</w:t>
      </w:r>
      <w:r w:rsidR="000C5457">
        <w:t xml:space="preserve">, we have provided detail on our programs, their goals, current measures and outcomes. </w:t>
      </w:r>
      <w:r w:rsidR="00BF6C5B">
        <w:t xml:space="preserve">For ease of reporting, the </w:t>
      </w:r>
      <w:r w:rsidR="00974996">
        <w:t>department has</w:t>
      </w:r>
      <w:r w:rsidR="00BF6C5B">
        <w:t xml:space="preserve"> been broken int</w:t>
      </w:r>
      <w:r w:rsidR="00974996">
        <w:t>o economic development, housing and</w:t>
      </w:r>
      <w:r w:rsidR="00BF6C5B">
        <w:t xml:space="preserve"> community </w:t>
      </w:r>
      <w:r w:rsidR="00974996">
        <w:t>affairs</w:t>
      </w:r>
      <w:r w:rsidR="00943540">
        <w:t>,</w:t>
      </w:r>
      <w:r w:rsidR="00BF6C5B">
        <w:t xml:space="preserve"> and historic preservation. </w:t>
      </w:r>
      <w:r w:rsidR="007C5982">
        <w:t xml:space="preserve">The programs we note are in alignment with the Departmental Program Profile document also provided. </w:t>
      </w:r>
    </w:p>
    <w:p w:rsidR="001E45F0" w:rsidRDefault="001E45F0" w:rsidP="001B0A84"/>
    <w:p w:rsidR="009D04CA" w:rsidRPr="000B58A2" w:rsidRDefault="00BF6C5B" w:rsidP="001B0A84">
      <w:pPr>
        <w:rPr>
          <w:b/>
          <w:i/>
          <w:sz w:val="26"/>
          <w:szCs w:val="26"/>
        </w:rPr>
      </w:pPr>
      <w:r w:rsidRPr="000B58A2">
        <w:rPr>
          <w:b/>
          <w:i/>
          <w:sz w:val="26"/>
          <w:szCs w:val="26"/>
        </w:rPr>
        <w:t>Economic Development</w:t>
      </w:r>
    </w:p>
    <w:p w:rsidR="00BF6C5B" w:rsidRDefault="00BF6C5B" w:rsidP="001B0A84">
      <w:pPr>
        <w:rPr>
          <w:b/>
          <w:i/>
        </w:rPr>
      </w:pPr>
    </w:p>
    <w:p w:rsidR="00943540" w:rsidRDefault="00BF6C5B" w:rsidP="001B0A84">
      <w:r>
        <w:t>DEHCD’s Econom</w:t>
      </w:r>
      <w:r w:rsidR="0004118B">
        <w:t xml:space="preserve">ic Development programs assist the private sector to </w:t>
      </w:r>
      <w:r>
        <w:t>create and retain quality jobs and strengthen the competitiveness of Vermont's businesses and the overall economy while creating vital commun</w:t>
      </w:r>
      <w:r w:rsidR="001F707B">
        <w:t>ities in partnership with a variety of partners. Much of this support is delivered through specialized programs that provide solutions to business challenges.</w:t>
      </w:r>
      <w:r>
        <w:t> </w:t>
      </w:r>
      <w:r w:rsidR="007C5982">
        <w:t xml:space="preserve"> These programs include business support, financial services, procurement assistance, international trade, the Vermont E</w:t>
      </w:r>
      <w:r w:rsidR="006A4E43">
        <w:t>mployment Growth Incentive</w:t>
      </w:r>
      <w:r w:rsidR="007C5982">
        <w:t xml:space="preserve"> and training programs.</w:t>
      </w:r>
    </w:p>
    <w:p w:rsidR="00BF6C5B" w:rsidRPr="00100E1C" w:rsidRDefault="007C5982" w:rsidP="001B0A84">
      <w:pPr>
        <w:rPr>
          <w:color w:val="FF0000"/>
        </w:rPr>
      </w:pPr>
      <w:r>
        <w:t xml:space="preserve"> </w:t>
      </w:r>
      <w:r w:rsidR="00BF6C5B">
        <w:t xml:space="preserve"> </w:t>
      </w:r>
    </w:p>
    <w:p w:rsidR="00AE694F" w:rsidRPr="00AE694F" w:rsidRDefault="00AE694F" w:rsidP="00AE694F">
      <w:r w:rsidRPr="00AE694F">
        <w:rPr>
          <w:b/>
        </w:rPr>
        <w:t xml:space="preserve">Business Support: </w:t>
      </w:r>
      <w:r w:rsidRPr="00AE694F">
        <w:t>The staff working in these areas focuses on assisting new or existing Vermont companies; recruiting new companies to Vermont; training our workforce</w:t>
      </w:r>
      <w:r w:rsidR="00943540">
        <w:t>; distribution of brownfield funding</w:t>
      </w:r>
      <w:r w:rsidRPr="00AE694F">
        <w:t xml:space="preserve"> and administering the grant program with the Regional Development Corporations (RDCs). </w:t>
      </w:r>
    </w:p>
    <w:p w:rsidR="00AE694F" w:rsidRPr="00AE694F" w:rsidRDefault="00AE694F" w:rsidP="00AE694F"/>
    <w:p w:rsidR="00AE694F" w:rsidRPr="00AE694F" w:rsidRDefault="00AE694F" w:rsidP="00C97EA9">
      <w:r w:rsidRPr="00C97EA9">
        <w:rPr>
          <w:u w:val="single"/>
        </w:rPr>
        <w:t>Retention and Expansion:</w:t>
      </w:r>
      <w:r w:rsidRPr="00C97EA9">
        <w:rPr>
          <w:b/>
        </w:rPr>
        <w:t xml:space="preserve"> </w:t>
      </w:r>
      <w:r w:rsidRPr="00AE694F">
        <w:t xml:space="preserve"> DEHCD’s retention and expansion program assists new and expanding companies that operate in Vermont with facility site relocation and/or expansion support, financing and marketing information, entrepreneurship, state permits and regulation information, workforce training initiatives</w:t>
      </w:r>
      <w:r w:rsidR="006A4E43">
        <w:t>, and job creation and investment incentives</w:t>
      </w:r>
      <w:r w:rsidRPr="00AE694F">
        <w:t xml:space="preserve">. </w:t>
      </w:r>
    </w:p>
    <w:p w:rsidR="00AE694F" w:rsidRDefault="00AE694F" w:rsidP="00AE694F"/>
    <w:p w:rsidR="00AE694F" w:rsidRPr="00AE694F" w:rsidRDefault="00AE694F" w:rsidP="00AE694F">
      <w:r w:rsidRPr="00AE694F">
        <w:t>The measures of this program include:</w:t>
      </w:r>
      <w:r w:rsidR="00F52846">
        <w:t xml:space="preserve"> </w:t>
      </w:r>
      <w:r w:rsidRPr="00AE694F">
        <w:t>Interactions with businesses and individuals seeking technical assistance including onsite visits, web inquiries, email, meetings and telephone calls.  Assistance requires counseling to the business on the eligibility for and the nature of appropriate programs and services to assist the company and making direct referrals to the best resources to help.</w:t>
      </w:r>
    </w:p>
    <w:p w:rsidR="0040657B" w:rsidRDefault="0040657B" w:rsidP="001B0A84"/>
    <w:p w:rsidR="00ED2BD7" w:rsidRPr="000F3339" w:rsidRDefault="00382FCD" w:rsidP="00A1288D">
      <w:r>
        <w:t xml:space="preserve">Some of the </w:t>
      </w:r>
      <w:r w:rsidR="000F3339">
        <w:t xml:space="preserve">Vermont companies that have been retained and/or have successfully expanded due, in part, to the services provided by DEHCD include: Green Mountain Coffee Roasters, My Web Grocer, SBE, Dealer.com, Seldon Technologies, Westminster Cracker, Revision Eyewear, Vermont Smoke and Cure, Carbon Harvest Energy, and Concepts NREC. </w:t>
      </w:r>
    </w:p>
    <w:p w:rsidR="00ED2BD7" w:rsidRDefault="00ED2BD7" w:rsidP="00A1288D">
      <w:pPr>
        <w:rPr>
          <w:u w:val="single"/>
        </w:rPr>
      </w:pPr>
    </w:p>
    <w:p w:rsidR="00A1288D" w:rsidRPr="00D37315" w:rsidRDefault="00A1288D" w:rsidP="00A1288D">
      <w:r w:rsidRPr="00F52F36">
        <w:rPr>
          <w:u w:val="single"/>
        </w:rPr>
        <w:t>Recruitment:</w:t>
      </w:r>
      <w:r>
        <w:t xml:space="preserve"> </w:t>
      </w:r>
      <w:r w:rsidRPr="00D37315">
        <w:t>The Recruitment Program’s mission is to attract business to start-up, relocate and/or expand to Vermont.  The DEHCD recruitment strategy continues to focus on increasing national perception and awareness of Vermont as a competitive locat</w:t>
      </w:r>
      <w:r w:rsidR="00C97EA9">
        <w:t xml:space="preserve">ion for a business to operate. </w:t>
      </w:r>
      <w:r w:rsidRPr="00D37315">
        <w:t>As part of this strategy</w:t>
      </w:r>
      <w:r>
        <w:t>,</w:t>
      </w:r>
      <w:r w:rsidRPr="00D37315">
        <w:t xml:space="preserve"> various industry sectors and markets</w:t>
      </w:r>
      <w:r>
        <w:t xml:space="preserve">, such as </w:t>
      </w:r>
      <w:r w:rsidRPr="00D37315">
        <w:t>green technology</w:t>
      </w:r>
      <w:r>
        <w:t>,</w:t>
      </w:r>
      <w:r w:rsidRPr="00D37315">
        <w:t xml:space="preserve"> have been selected as being of sp</w:t>
      </w:r>
      <w:r w:rsidR="00F25BE7">
        <w:t xml:space="preserve">ecific benefit to the State. </w:t>
      </w:r>
      <w:r w:rsidRPr="00D37315">
        <w:t>Recruitment marketing tactics are focused on enhancing Vermont’</w:t>
      </w:r>
      <w:r w:rsidR="00061082">
        <w:t>s image as a business friendly s</w:t>
      </w:r>
      <w:r w:rsidRPr="00D37315">
        <w:t xml:space="preserve">tate offering viable economic incentives and other competitive advantages such as our educated workforce, geographic proximity to major markets, and recognized quality of life. We actively market our applicable financial incentives, specifically </w:t>
      </w:r>
      <w:r w:rsidRPr="00896DC8">
        <w:t xml:space="preserve">Vermont Employment Growth Incentive </w:t>
      </w:r>
      <w:r>
        <w:t>(</w:t>
      </w:r>
      <w:r w:rsidRPr="00D37315">
        <w:t>VEGI</w:t>
      </w:r>
      <w:r>
        <w:t>)</w:t>
      </w:r>
      <w:r w:rsidRPr="00D37315">
        <w:t xml:space="preserve">, </w:t>
      </w:r>
      <w:r>
        <w:t>VT Training Program (</w:t>
      </w:r>
      <w:r w:rsidRPr="00D37315">
        <w:t>VTP</w:t>
      </w:r>
      <w:r>
        <w:t>)</w:t>
      </w:r>
      <w:r w:rsidRPr="00D37315">
        <w:t xml:space="preserve">, and </w:t>
      </w:r>
      <w:r>
        <w:t>VT Economic Development Authority (</w:t>
      </w:r>
      <w:r w:rsidRPr="00D37315">
        <w:t>VEDA</w:t>
      </w:r>
      <w:r>
        <w:t>)</w:t>
      </w:r>
      <w:r w:rsidRPr="00D37315">
        <w:t>, as well as VT’s unique position as a regional EB-5 center.</w:t>
      </w:r>
      <w:r>
        <w:t xml:space="preserve">  </w:t>
      </w:r>
      <w:r w:rsidR="00F25BE7">
        <w:t>Historically,</w:t>
      </w:r>
      <w:r w:rsidR="003A1C4B">
        <w:t xml:space="preserve"> </w:t>
      </w:r>
      <w:r w:rsidRPr="00D37315">
        <w:t xml:space="preserve">Vermont targets prospects in small to midsize operations, from 20 to 400 employees, which complements the States small scale and labor force.  </w:t>
      </w:r>
    </w:p>
    <w:p w:rsidR="0040657B" w:rsidRPr="00A1288D" w:rsidRDefault="0040657B" w:rsidP="001B0A84"/>
    <w:p w:rsidR="0057521A" w:rsidRDefault="00C97EA9" w:rsidP="001B0A84">
      <w:r>
        <w:t>We track progress towards our goal with the following measures:</w:t>
      </w:r>
    </w:p>
    <w:p w:rsidR="00A1288D" w:rsidRDefault="00A1288D" w:rsidP="001B0A84"/>
    <w:p w:rsidR="00A1288D" w:rsidRDefault="00C97EA9" w:rsidP="000B58A2">
      <w:pPr>
        <w:ind w:firstLine="720"/>
      </w:pPr>
      <w:r>
        <w:t>Fiscal Year</w:t>
      </w:r>
      <w:r>
        <w:tab/>
      </w:r>
      <w:r w:rsidR="000B58A2">
        <w:tab/>
      </w:r>
      <w:r w:rsidR="0057521A">
        <w:t>Number of Companies</w:t>
      </w:r>
      <w:r w:rsidR="0057521A">
        <w:tab/>
        <w:t xml:space="preserve">Number of Jobs </w:t>
      </w:r>
    </w:p>
    <w:p w:rsidR="00F17B6B" w:rsidRDefault="00F17B6B" w:rsidP="000B58A2">
      <w:pPr>
        <w:ind w:firstLine="720"/>
      </w:pPr>
      <w:r>
        <w:t>FY13</w:t>
      </w:r>
      <w:r>
        <w:tab/>
      </w:r>
      <w:r>
        <w:tab/>
      </w:r>
      <w:r>
        <w:tab/>
      </w:r>
      <w:r>
        <w:tab/>
        <w:t>9</w:t>
      </w:r>
      <w:r>
        <w:tab/>
      </w:r>
      <w:r>
        <w:tab/>
      </w:r>
      <w:r>
        <w:tab/>
      </w:r>
      <w:r>
        <w:tab/>
        <w:t>200</w:t>
      </w:r>
    </w:p>
    <w:p w:rsidR="00F17B6B" w:rsidRDefault="00F17B6B" w:rsidP="000B58A2">
      <w:pPr>
        <w:ind w:firstLine="720"/>
      </w:pPr>
      <w:r>
        <w:t>FY12</w:t>
      </w:r>
      <w:r>
        <w:tab/>
      </w:r>
      <w:r>
        <w:tab/>
      </w:r>
      <w:r>
        <w:tab/>
      </w:r>
      <w:r>
        <w:tab/>
        <w:t>7</w:t>
      </w:r>
      <w:r>
        <w:tab/>
      </w:r>
      <w:r>
        <w:tab/>
      </w:r>
      <w:r>
        <w:tab/>
      </w:r>
      <w:r>
        <w:tab/>
        <w:t>175</w:t>
      </w:r>
    </w:p>
    <w:p w:rsidR="006A4E43" w:rsidRDefault="00AC4162" w:rsidP="000B58A2">
      <w:pPr>
        <w:ind w:firstLine="720"/>
      </w:pPr>
      <w:r>
        <w:t>FY 11</w:t>
      </w:r>
      <w:r>
        <w:tab/>
      </w:r>
      <w:r>
        <w:tab/>
      </w:r>
      <w:r>
        <w:tab/>
      </w:r>
      <w:r>
        <w:tab/>
        <w:t>7</w:t>
      </w:r>
      <w:r>
        <w:tab/>
      </w:r>
      <w:r>
        <w:tab/>
      </w:r>
      <w:r>
        <w:tab/>
      </w:r>
      <w:r>
        <w:tab/>
        <w:t>160</w:t>
      </w:r>
    </w:p>
    <w:p w:rsidR="0057521A" w:rsidRDefault="0057521A" w:rsidP="000B58A2">
      <w:pPr>
        <w:ind w:firstLine="720"/>
      </w:pPr>
      <w:r>
        <w:t>FY 10</w:t>
      </w:r>
      <w:r w:rsidR="00C97EA9">
        <w:tab/>
      </w:r>
      <w:r w:rsidR="00C97EA9">
        <w:tab/>
      </w:r>
      <w:r w:rsidR="000B58A2">
        <w:tab/>
      </w:r>
      <w:r w:rsidR="00C97EA9">
        <w:tab/>
        <w:t>7</w:t>
      </w:r>
      <w:r w:rsidR="00C97EA9">
        <w:tab/>
      </w:r>
      <w:r w:rsidR="00C97EA9">
        <w:tab/>
      </w:r>
      <w:r w:rsidR="00C97EA9">
        <w:tab/>
      </w:r>
      <w:r w:rsidR="00C97EA9">
        <w:tab/>
        <w:t>150</w:t>
      </w:r>
      <w:r w:rsidR="00C97EA9">
        <w:tab/>
      </w:r>
      <w:r w:rsidR="00C97EA9">
        <w:tab/>
      </w:r>
    </w:p>
    <w:p w:rsidR="0057521A" w:rsidRDefault="0057521A" w:rsidP="000B58A2">
      <w:pPr>
        <w:ind w:firstLine="720"/>
      </w:pPr>
      <w:r>
        <w:t>FY 09</w:t>
      </w:r>
      <w:r w:rsidR="00C97EA9">
        <w:tab/>
      </w:r>
      <w:r w:rsidR="00C97EA9">
        <w:tab/>
      </w:r>
      <w:r w:rsidR="00C97EA9">
        <w:tab/>
      </w:r>
      <w:r w:rsidR="000B58A2">
        <w:tab/>
      </w:r>
      <w:r w:rsidR="00C97EA9">
        <w:t>5</w:t>
      </w:r>
      <w:r w:rsidR="00C97EA9">
        <w:tab/>
      </w:r>
      <w:r w:rsidR="00C97EA9">
        <w:tab/>
      </w:r>
      <w:r w:rsidR="00C97EA9">
        <w:tab/>
      </w:r>
      <w:r w:rsidR="00C97EA9">
        <w:tab/>
        <w:t>190</w:t>
      </w:r>
    </w:p>
    <w:p w:rsidR="00275AD2" w:rsidRDefault="00275AD2" w:rsidP="00275AD2"/>
    <w:p w:rsidR="006A4E43" w:rsidRDefault="006A4E43" w:rsidP="00275AD2">
      <w:r>
        <w:t>Companies that established operations in VT during CY2011 include Alpla, WCW</w:t>
      </w:r>
      <w:r w:rsidR="00AC4162">
        <w:t xml:space="preserve"> Inc.</w:t>
      </w:r>
      <w:r>
        <w:t xml:space="preserve">, </w:t>
      </w:r>
      <w:r w:rsidR="0004118B">
        <w:t xml:space="preserve">Appalachian Flooring, </w:t>
      </w:r>
      <w:r>
        <w:t>and SOH Wind Engineering.</w:t>
      </w:r>
      <w:r w:rsidR="007F0920">
        <w:t xml:space="preserve">  Numerous existing companies experienced some growth and added jobs or are planning to add jobs in 2011 and 2012.</w:t>
      </w:r>
    </w:p>
    <w:p w:rsidR="006A4E43" w:rsidRDefault="006A4E43" w:rsidP="00275AD2"/>
    <w:p w:rsidR="00275AD2" w:rsidRDefault="00275AD2" w:rsidP="00275AD2">
      <w:r w:rsidRPr="00DD4931">
        <w:t>Companies that established operations in VT during CY 201</w:t>
      </w:r>
      <w:r w:rsidR="006A4E43">
        <w:t>0</w:t>
      </w:r>
      <w:r w:rsidRPr="00DD4931">
        <w:t xml:space="preserve"> include</w:t>
      </w:r>
      <w:r w:rsidR="006A4E43">
        <w:t>d</w:t>
      </w:r>
      <w:r w:rsidRPr="00DD4931">
        <w:t xml:space="preserve"> Terry</w:t>
      </w:r>
      <w:r w:rsidRPr="00C97EA9">
        <w:t xml:space="preserve"> Precision </w:t>
      </w:r>
      <w:r w:rsidR="006A4E43">
        <w:t>Bic</w:t>
      </w:r>
      <w:r w:rsidRPr="00C97EA9">
        <w:t>ycles, Audio-Visual Corp, Upper Valley Produce, International Innovations, Organic Trade Assoc</w:t>
      </w:r>
      <w:r w:rsidR="006A4E43">
        <w:t>iation</w:t>
      </w:r>
      <w:r w:rsidRPr="00C97EA9">
        <w:t xml:space="preserve">, Pinnacle Sales Accelerators, </w:t>
      </w:r>
      <w:r w:rsidR="006A4E43">
        <w:t xml:space="preserve">Swan Valley Cheese, </w:t>
      </w:r>
      <w:r w:rsidR="009D7ACC" w:rsidRPr="00C97EA9">
        <w:t>and Commonwealth</w:t>
      </w:r>
      <w:r w:rsidRPr="00C97EA9">
        <w:t xml:space="preserve"> Dairy</w:t>
      </w:r>
      <w:r>
        <w:rPr>
          <w:b/>
        </w:rPr>
        <w:t xml:space="preserve">.  </w:t>
      </w:r>
    </w:p>
    <w:p w:rsidR="000B58A2" w:rsidRDefault="000B58A2" w:rsidP="00275AD2"/>
    <w:p w:rsidR="00275AD2" w:rsidRPr="00DD4931" w:rsidRDefault="00275AD2" w:rsidP="00275AD2">
      <w:r w:rsidRPr="00DD4931">
        <w:rPr>
          <w:noProof/>
        </w:rPr>
        <w:t>Companies that established operations in Vermont during CY 2009 include</w:t>
      </w:r>
      <w:r w:rsidR="006A4E43">
        <w:rPr>
          <w:noProof/>
        </w:rPr>
        <w:t>d</w:t>
      </w:r>
      <w:r w:rsidRPr="00DD4931">
        <w:rPr>
          <w:noProof/>
        </w:rPr>
        <w:t xml:space="preserve"> </w:t>
      </w:r>
      <w:r w:rsidR="00ED2BD7">
        <w:rPr>
          <w:noProof/>
        </w:rPr>
        <w:t xml:space="preserve">URMC, Albany College of Pharmacy and Health Sciences, </w:t>
      </w:r>
      <w:r w:rsidRPr="00DD4931">
        <w:rPr>
          <w:noProof/>
        </w:rPr>
        <w:t xml:space="preserve">ASK-intTag, Project Graphics,  </w:t>
      </w:r>
      <w:r w:rsidR="00ED2BD7">
        <w:rPr>
          <w:noProof/>
        </w:rPr>
        <w:t xml:space="preserve">and </w:t>
      </w:r>
      <w:r w:rsidRPr="00DD4931">
        <w:rPr>
          <w:noProof/>
        </w:rPr>
        <w:t xml:space="preserve">AirBoss Defense.  </w:t>
      </w:r>
    </w:p>
    <w:p w:rsidR="00FE3460" w:rsidRDefault="00FE3460" w:rsidP="00917071">
      <w:pPr>
        <w:rPr>
          <w:u w:val="single"/>
        </w:rPr>
      </w:pPr>
    </w:p>
    <w:p w:rsidR="00E90C30" w:rsidRDefault="00917071" w:rsidP="00917071">
      <w:r w:rsidRPr="00F52F36">
        <w:rPr>
          <w:u w:val="single"/>
        </w:rPr>
        <w:t>Partnership with Regional Development Corporations</w:t>
      </w:r>
      <w:r w:rsidRPr="00F52F36">
        <w:t>:</w:t>
      </w:r>
      <w:r>
        <w:t xml:space="preserve">  The Department provides contracts to the state’s 12 Regional Development Corporations (RDC’s).  These organizations are part of the economic delivery systems for the state and all areas of the state are served.  The RDC’s are independent, non-profit corporations that provide assistance to Vermont businesses with expansion, start-up and relocation to Vermont. They are the “eyes and ears” for the Agency on key issues and opportunities around the state.  Each RDC leverages the state dollars with other private and/or public dollars from local communities to fund their operations. The regional network is critical as the needs of the various regions around the state vary depending on the </w:t>
      </w:r>
      <w:r w:rsidR="00061082">
        <w:t>needs of</w:t>
      </w:r>
      <w:r>
        <w:t xml:space="preserve"> the regional economy.  The RDC’s are staffed by professionals and directed by independent boards of directors.  </w:t>
      </w:r>
    </w:p>
    <w:p w:rsidR="00E90C30" w:rsidRDefault="00E90C30" w:rsidP="00917071"/>
    <w:p w:rsidR="00917071" w:rsidRDefault="00D2291C" w:rsidP="00917071">
      <w:r>
        <w:t xml:space="preserve">DEHCD has a </w:t>
      </w:r>
      <w:r w:rsidR="00917071">
        <w:t>performance based contract</w:t>
      </w:r>
      <w:r>
        <w:t xml:space="preserve"> which each of the RDC’s and a</w:t>
      </w:r>
      <w:r w:rsidR="00AC4162">
        <w:t>nnually t</w:t>
      </w:r>
      <w:r w:rsidR="00886C49">
        <w:t xml:space="preserve">hey </w:t>
      </w:r>
      <w:r w:rsidR="00917071">
        <w:t>report to the Agency on outcomes and activities.</w:t>
      </w:r>
    </w:p>
    <w:p w:rsidR="00AC4162" w:rsidRDefault="00AC4162" w:rsidP="00917071"/>
    <w:p w:rsidR="00361BDE" w:rsidRDefault="00361BDE" w:rsidP="00917071">
      <w:r>
        <w:t>FY13 Projected for RDC’s</w:t>
      </w:r>
      <w:r>
        <w:tab/>
        <w:t xml:space="preserve">Business visits:       </w:t>
      </w:r>
      <w:r w:rsidR="00054005">
        <w:t xml:space="preserve"> </w:t>
      </w:r>
      <w:r>
        <w:t>570</w:t>
      </w:r>
      <w:r>
        <w:tab/>
      </w:r>
      <w:r>
        <w:tab/>
        <w:t>Jobs affected: 3,000*</w:t>
      </w:r>
    </w:p>
    <w:p w:rsidR="00463EFF" w:rsidRDefault="00463EFF" w:rsidP="00463EFF">
      <w:r>
        <w:t>FY12 Projected for RDC’s</w:t>
      </w:r>
      <w:r>
        <w:tab/>
        <w:t>Business visits:        570</w:t>
      </w:r>
      <w:r>
        <w:tab/>
      </w:r>
      <w:r>
        <w:tab/>
        <w:t>Jobs affected: 2,198*</w:t>
      </w:r>
    </w:p>
    <w:p w:rsidR="00463EFF" w:rsidRDefault="00463EFF" w:rsidP="00463EFF">
      <w:r>
        <w:t xml:space="preserve">FY11 Activity for RDC’s:  </w:t>
      </w:r>
      <w:r>
        <w:tab/>
        <w:t>Businesses visited:  461</w:t>
      </w:r>
      <w:r>
        <w:tab/>
      </w:r>
      <w:r>
        <w:tab/>
        <w:t>Jobs affected: 2,632*</w:t>
      </w:r>
    </w:p>
    <w:p w:rsidR="00AC4162" w:rsidRDefault="00AC4162" w:rsidP="00917071"/>
    <w:p w:rsidR="00AC4162" w:rsidRDefault="00AC4162" w:rsidP="00917071">
      <w:pPr>
        <w:rPr>
          <w:noProof/>
        </w:rPr>
      </w:pPr>
      <w:r w:rsidRPr="00AC4162">
        <w:t>*</w:t>
      </w:r>
      <w:r w:rsidRPr="00AC4162">
        <w:rPr>
          <w:noProof/>
        </w:rPr>
        <w:t xml:space="preserve"> </w:t>
      </w:r>
      <w:r>
        <w:rPr>
          <w:noProof/>
        </w:rPr>
        <w:t>J</w:t>
      </w:r>
      <w:r w:rsidRPr="00AC4162">
        <w:rPr>
          <w:noProof/>
        </w:rPr>
        <w:t>obs affected means new jobs/positions created as well as jobs/positions retained at private sector employers that the RDC assisted in a meaningful way. This includes providing assistance with financing, permitting, site location or expansion, incentives, training, government contracting, partnerships with other companies, federal or state grants, or other direct assistance.</w:t>
      </w:r>
    </w:p>
    <w:p w:rsidR="00112767" w:rsidRDefault="00112767" w:rsidP="00917071">
      <w:pPr>
        <w:rPr>
          <w:noProof/>
        </w:rPr>
      </w:pPr>
    </w:p>
    <w:p w:rsidR="00112767" w:rsidRDefault="00112767" w:rsidP="00112767">
      <w:r w:rsidRPr="00463EFF">
        <w:rPr>
          <w:u w:val="single"/>
        </w:rPr>
        <w:t>The EB-5</w:t>
      </w:r>
      <w:r>
        <w:t>: The EB-5 Enterprise fund was established in August, 2011 so the Agency could begin to offset expenses for the program from fees for services paid by investors in Vermont projects.  A guideline of $1,500 per investor was established by the Secretary.  The fund can also collect costs of specific marketing, promotion, travel or other expenses associated with attracting investors to approved projects.  Many EB-5 projects were already underway when the fund was established.  Fee language was added to all new MOU’s initiated after the new legislation went in to effect.  All projects approved after August 2011 operate under the new MOU.</w:t>
      </w:r>
    </w:p>
    <w:p w:rsidR="00112767" w:rsidRDefault="00112767" w:rsidP="00112767"/>
    <w:p w:rsidR="00112767" w:rsidRDefault="00112767" w:rsidP="00112767">
      <w:r w:rsidRPr="009362BA">
        <w:t>While the state of Vermont’s EB-5 projects saw new investors for 2011, many of these investors came in under projects that were already approved by ACCD before the new EB-5 Fund legislation</w:t>
      </w:r>
      <w:r>
        <w:t xml:space="preserve"> went in to effect</w:t>
      </w:r>
      <w:r w:rsidRPr="009362BA">
        <w:t xml:space="preserve">.  As such, these projects and investors were not subject to the EB-5 funding requirement.  </w:t>
      </w:r>
      <w:r>
        <w:t>The fund has collected $5,040 thus far in FY12 under the new legislation.  It is anticipated that $8,000 will be realized to fund the state’s efforts in FY 2012.  New MOU’s are</w:t>
      </w:r>
      <w:r w:rsidRPr="009362BA">
        <w:t xml:space="preserve"> subject to the EB-5 fund provisions and will pay into the fund $1,500 per investor.  </w:t>
      </w:r>
    </w:p>
    <w:p w:rsidR="00112767" w:rsidRDefault="00112767" w:rsidP="00112767">
      <w:r>
        <w:tab/>
      </w:r>
    </w:p>
    <w:p w:rsidR="00112767" w:rsidRDefault="00112767" w:rsidP="00112767">
      <w:r w:rsidRPr="009362BA">
        <w:t>The Vermont ACCD EB-5 Regional Center saw continued growth in 2011.  Two new projects were added to the Vermont Regional Center in 2011; The Trapp Family Lodge in Stowe, and AFCell, a Biotech company that is looking to move into Vermont with its capital raise.  In 2011, Vermont projects took in roughly $110 Million or 220 foreign investors.  The 2011 capital raise include</w:t>
      </w:r>
      <w:r>
        <w:t>s</w:t>
      </w:r>
      <w:r w:rsidRPr="009362BA">
        <w:t xml:space="preserve"> Seldon Te</w:t>
      </w:r>
      <w:r>
        <w:t>chnologies in Windsor, Country H</w:t>
      </w:r>
      <w:r w:rsidRPr="009362BA">
        <w:t>ome Products in Vergennes, and Jay Peak in Jay.  Since the EB-5 program requires 1</w:t>
      </w:r>
      <w:r>
        <w:t xml:space="preserve">0 direct and indirect jobs </w:t>
      </w:r>
      <w:r w:rsidRPr="009362BA">
        <w:t>be created or maintained in 2 years by each investor, these capital numbers will mean 2,200 direct and indirect jobs created or maintain</w:t>
      </w:r>
      <w:r>
        <w:t>ed</w:t>
      </w:r>
      <w:r w:rsidRPr="009362BA">
        <w:t xml:space="preserve"> for Vermont.  </w:t>
      </w:r>
    </w:p>
    <w:p w:rsidR="00112767" w:rsidRPr="009362BA" w:rsidRDefault="00112767" w:rsidP="00112767"/>
    <w:p w:rsidR="00112767" w:rsidRDefault="00112767" w:rsidP="00112767">
      <w:r w:rsidRPr="009362BA">
        <w:t xml:space="preserve">Looking towards </w:t>
      </w:r>
      <w:r>
        <w:t>FY 2013</w:t>
      </w:r>
      <w:r w:rsidRPr="009362BA">
        <w:t>, it is estimated that the state could process over 150 investors for the year</w:t>
      </w:r>
      <w:r>
        <w:t>, bringing in approximately $200,000 to fund the state’s efforts</w:t>
      </w:r>
      <w:r w:rsidRPr="009362BA">
        <w:t xml:space="preserve">.  This would include the already approved projects such as Trapp and AFCell, as well as other projects that are currently in the approval process with ACCD. </w:t>
      </w:r>
      <w:r>
        <w:t xml:space="preserve">It should be noted the Vermont Regional Center was again recognized as the top Regional Center in the country for a second year in a row. </w:t>
      </w:r>
    </w:p>
    <w:p w:rsidR="00112767" w:rsidRDefault="00112767" w:rsidP="00112767">
      <w:pPr>
        <w:pStyle w:val="NormalWeb"/>
        <w:spacing w:before="0" w:beforeAutospacing="0" w:after="0" w:afterAutospacing="0"/>
        <w:rPr>
          <w:rFonts w:ascii="Times New Roman" w:hAnsi="Times New Roman"/>
          <w:sz w:val="24"/>
          <w:szCs w:val="24"/>
        </w:rPr>
      </w:pPr>
    </w:p>
    <w:p w:rsidR="00112767" w:rsidRPr="00A6109C" w:rsidRDefault="00112767" w:rsidP="00112767">
      <w:r w:rsidRPr="003A0F9A">
        <w:rPr>
          <w:u w:val="single"/>
        </w:rPr>
        <w:t xml:space="preserve">STEM </w:t>
      </w:r>
      <w:r w:rsidR="000E05D3" w:rsidRPr="003A0F9A">
        <w:rPr>
          <w:u w:val="single"/>
        </w:rPr>
        <w:t>Incentive</w:t>
      </w:r>
      <w:r w:rsidRPr="003A0F9A">
        <w:rPr>
          <w:u w:val="single"/>
        </w:rPr>
        <w:t>:</w:t>
      </w:r>
      <w:r w:rsidRPr="00A6109C">
        <w:t xml:space="preserve">  The STEM (Science, Technology, Engineering and Math) Award Incentive was passed in the 2011 legislative session (Act 52) as a two-year pilot program for FY12 and FY13 to award $1500 annually for each year up to five years of employment to recent college graduates hired by Vermont companies in eligible occupations.  The program is capped at 50 awards in each year and took effect on July 1, 2011.  The program is administered by ACCD with applications on line.  </w:t>
      </w:r>
    </w:p>
    <w:p w:rsidR="00112767" w:rsidRPr="00A6109C" w:rsidRDefault="00112767" w:rsidP="00112767"/>
    <w:p w:rsidR="00112767" w:rsidRPr="00A6109C" w:rsidRDefault="00112767" w:rsidP="00112767">
      <w:r w:rsidRPr="00A6109C">
        <w:t>The program has been very well received by employers who pass this information on to applicants. The individual is the recipient, not the employer. But employers use the incentive as a way to attract engineers, technicians and other highly skilled staff.</w:t>
      </w:r>
    </w:p>
    <w:p w:rsidR="00112767" w:rsidRPr="00A6109C" w:rsidRDefault="00112767" w:rsidP="00112767"/>
    <w:p w:rsidR="00112767" w:rsidRPr="00A6109C" w:rsidRDefault="00112767" w:rsidP="00112767">
      <w:pPr>
        <w:rPr>
          <w:i/>
        </w:rPr>
      </w:pPr>
      <w:r w:rsidRPr="00A6109C">
        <w:rPr>
          <w:i/>
        </w:rPr>
        <w:t xml:space="preserve">Applications Received:         </w:t>
      </w:r>
      <w:r>
        <w:rPr>
          <w:i/>
        </w:rPr>
        <w:t xml:space="preserve"> </w:t>
      </w:r>
      <w:r w:rsidRPr="00A6109C">
        <w:rPr>
          <w:i/>
        </w:rPr>
        <w:t xml:space="preserve"> 45</w:t>
      </w:r>
    </w:p>
    <w:p w:rsidR="00112767" w:rsidRPr="00A6109C" w:rsidRDefault="00112767" w:rsidP="00112767">
      <w:pPr>
        <w:rPr>
          <w:i/>
        </w:rPr>
      </w:pPr>
      <w:r w:rsidRPr="00A6109C">
        <w:rPr>
          <w:i/>
        </w:rPr>
        <w:t>Awards to Date:                     24</w:t>
      </w:r>
    </w:p>
    <w:p w:rsidR="00112767" w:rsidRPr="00A6109C" w:rsidRDefault="00112767" w:rsidP="00112767">
      <w:pPr>
        <w:rPr>
          <w:i/>
        </w:rPr>
      </w:pPr>
      <w:r w:rsidRPr="00A6109C">
        <w:rPr>
          <w:i/>
        </w:rPr>
        <w:t>Funds Available FY12:           $37,500</w:t>
      </w:r>
    </w:p>
    <w:p w:rsidR="00112767" w:rsidRDefault="00112767" w:rsidP="00112767">
      <w:pPr>
        <w:rPr>
          <w:i/>
        </w:rPr>
      </w:pPr>
      <w:r w:rsidRPr="00A6109C">
        <w:rPr>
          <w:i/>
        </w:rPr>
        <w:t>Funds Available FY13:           $</w:t>
      </w:r>
      <w:r w:rsidR="000E05D3">
        <w:rPr>
          <w:i/>
        </w:rPr>
        <w:t>55</w:t>
      </w:r>
      <w:r w:rsidRPr="00A6109C">
        <w:rPr>
          <w:i/>
        </w:rPr>
        <w:t>,</w:t>
      </w:r>
      <w:r w:rsidR="000E05D3">
        <w:rPr>
          <w:i/>
        </w:rPr>
        <w:t>1</w:t>
      </w:r>
      <w:r w:rsidRPr="00A6109C">
        <w:rPr>
          <w:i/>
        </w:rPr>
        <w:t xml:space="preserve">00  </w:t>
      </w:r>
    </w:p>
    <w:p w:rsidR="00112767" w:rsidRPr="00A6109C" w:rsidRDefault="00112767" w:rsidP="00112767">
      <w:pPr>
        <w:rPr>
          <w:i/>
        </w:rPr>
      </w:pPr>
      <w:r w:rsidRPr="00A6109C">
        <w:rPr>
          <w:i/>
        </w:rPr>
        <w:t>Projected Awards FY12:          50</w:t>
      </w:r>
    </w:p>
    <w:p w:rsidR="00112767" w:rsidRPr="00A6109C" w:rsidRDefault="00112767" w:rsidP="00112767">
      <w:pPr>
        <w:rPr>
          <w:i/>
        </w:rPr>
      </w:pPr>
      <w:r w:rsidRPr="00A6109C">
        <w:rPr>
          <w:i/>
        </w:rPr>
        <w:t>Projected Awards FY13:          50</w:t>
      </w:r>
    </w:p>
    <w:p w:rsidR="00112767" w:rsidRPr="00A6109C" w:rsidRDefault="00112767" w:rsidP="00112767">
      <w:pPr>
        <w:rPr>
          <w:i/>
        </w:rPr>
      </w:pPr>
      <w:r w:rsidRPr="00A6109C">
        <w:rPr>
          <w:i/>
        </w:rPr>
        <w:t>Funds Committed to Date:      $36,000</w:t>
      </w:r>
    </w:p>
    <w:p w:rsidR="00112767" w:rsidRPr="00A6109C" w:rsidRDefault="00112767" w:rsidP="00112767"/>
    <w:p w:rsidR="00BF0500" w:rsidRDefault="00BF0500" w:rsidP="00112767"/>
    <w:p w:rsidR="00112767" w:rsidRDefault="00112767" w:rsidP="00112767">
      <w:r w:rsidRPr="00A6109C">
        <w:t>Awards are for up to 5 years for each new hire.  If the program is not extended beyond the pilot year, projected expenditures will likely reduce over that period of time as employees end their eligible employment which is verified on an annual basis.</w:t>
      </w:r>
      <w:r>
        <w:t xml:space="preserve">  Our</w:t>
      </w:r>
    </w:p>
    <w:p w:rsidR="00112767" w:rsidRPr="00A6109C" w:rsidRDefault="00112767" w:rsidP="00112767">
      <w:r w:rsidRPr="00966679">
        <w:t>target is 50 qualified applicants for each of the first two years of the program to still be working in a qualified job at the end of twelve months.  Of the 24 that are approved</w:t>
      </w:r>
      <w:r>
        <w:t xml:space="preserve"> to date</w:t>
      </w:r>
      <w:r w:rsidRPr="00966679">
        <w:t xml:space="preserve">, we estimated that only 4 would be paid in FY2012, leaving a cash balance of </w:t>
      </w:r>
      <w:r>
        <w:t>$</w:t>
      </w:r>
      <w:r w:rsidRPr="00966679">
        <w:t>31</w:t>
      </w:r>
      <w:r>
        <w:t>,</w:t>
      </w:r>
      <w:r w:rsidRPr="00966679">
        <w:t xml:space="preserve">500.  The balance of the 20 will be paid between when we get carry forward approval late July to Dec 2012.  If all 24 approved are still qualified at the end of 12 months, there will be a balance of </w:t>
      </w:r>
      <w:r>
        <w:t>$</w:t>
      </w:r>
      <w:r w:rsidRPr="00966679">
        <w:t>1</w:t>
      </w:r>
      <w:r>
        <w:t>,</w:t>
      </w:r>
      <w:r w:rsidRPr="00966679">
        <w:t>500. </w:t>
      </w:r>
    </w:p>
    <w:p w:rsidR="00112767" w:rsidRPr="00A6109C" w:rsidRDefault="00112767" w:rsidP="00112767"/>
    <w:p w:rsidR="000A3BE6" w:rsidRPr="000A3BE6" w:rsidRDefault="000A3BE6" w:rsidP="000A3BE6">
      <w:r w:rsidRPr="000A3BE6">
        <w:rPr>
          <w:b/>
        </w:rPr>
        <w:t>Financial Services</w:t>
      </w:r>
      <w:r w:rsidR="00C83F4E">
        <w:rPr>
          <w:b/>
        </w:rPr>
        <w:t xml:space="preserve"> </w:t>
      </w:r>
      <w:r w:rsidRPr="000A3BE6">
        <w:t>promotes Vermont’s leading position as the top US captive insurance domicile and seeks out new and diversified opportunities in compl</w:t>
      </w:r>
      <w:r w:rsidR="0034775A">
        <w:t>e</w:t>
      </w:r>
      <w:r w:rsidRPr="000A3BE6">
        <w:t xml:space="preserve">menting financial services industries. </w:t>
      </w:r>
    </w:p>
    <w:p w:rsidR="000A3BE6" w:rsidRPr="000A3BE6" w:rsidRDefault="000A3BE6" w:rsidP="000A3BE6"/>
    <w:p w:rsidR="000A3BE6" w:rsidRPr="000A3BE6" w:rsidRDefault="000A3BE6" w:rsidP="000A3BE6">
      <w:r w:rsidRPr="000A3BE6">
        <w:t xml:space="preserve">To market effectively to our prospective clientele, various strategies are utilized.  The department partners with the Captive Insurance Division of BISHCA and the Vermont Captive Insurance Association whenever possible to maximize resources and effectiveness.  Tactics include speaking events throughout the country through “Business Development Road Shows”, speaking at conferences, media events, trade shows, electronic newsletters, web promotion, direct marketing, networking and various other means.  </w:t>
      </w:r>
    </w:p>
    <w:p w:rsidR="000A3BE6" w:rsidRPr="000A3BE6" w:rsidRDefault="000A3BE6" w:rsidP="000A3BE6"/>
    <w:p w:rsidR="000A3BE6" w:rsidRPr="000A3BE6" w:rsidRDefault="000A3BE6" w:rsidP="002F5B01">
      <w:pPr>
        <w:numPr>
          <w:ilvl w:val="0"/>
          <w:numId w:val="7"/>
        </w:numPr>
      </w:pPr>
      <w:r w:rsidRPr="000A3BE6">
        <w:t xml:space="preserve">One </w:t>
      </w:r>
      <w:r w:rsidR="004B7ECC">
        <w:t xml:space="preserve">DEHCD </w:t>
      </w:r>
      <w:r w:rsidRPr="000A3BE6">
        <w:t xml:space="preserve">employee recruits new companies to domicile captive insurance business in Vermont and/or set up </w:t>
      </w:r>
      <w:r w:rsidR="00BC0011">
        <w:t xml:space="preserve">complimentary </w:t>
      </w:r>
      <w:r w:rsidRPr="000A3BE6">
        <w:t>financial service</w:t>
      </w:r>
      <w:r w:rsidR="00BC0011">
        <w:t xml:space="preserve"> companies’</w:t>
      </w:r>
      <w:r w:rsidRPr="000A3BE6">
        <w:t xml:space="preserve"> offices here</w:t>
      </w:r>
      <w:r w:rsidR="00061082">
        <w:t>.</w:t>
      </w:r>
    </w:p>
    <w:p w:rsidR="000A3BE6" w:rsidRPr="000A3BE6" w:rsidRDefault="000A3BE6" w:rsidP="002F5B01">
      <w:pPr>
        <w:numPr>
          <w:ilvl w:val="0"/>
          <w:numId w:val="7"/>
        </w:numPr>
      </w:pPr>
      <w:r w:rsidRPr="000A3BE6">
        <w:t>Vermont competes in a global marketplace and ranks as the third largest captive insurance domicile in the world, after Bermuda and the Cayman Islands.  More than 30 other US states have captive insurance legislation and are actively seeking captive insurance companies, some of which are zero premium tax states or charge significantly les</w:t>
      </w:r>
      <w:r w:rsidR="00061082">
        <w:t>s in premium taxes than Vermont.</w:t>
      </w:r>
    </w:p>
    <w:p w:rsidR="000A3BE6" w:rsidRDefault="00BC0011" w:rsidP="002F5B01">
      <w:pPr>
        <w:numPr>
          <w:ilvl w:val="0"/>
          <w:numId w:val="7"/>
        </w:numPr>
      </w:pPr>
      <w:r>
        <w:t>2011 was a very strong year in Vermont for captive insurance formation.</w:t>
      </w:r>
      <w:r w:rsidR="00336825">
        <w:t xml:space="preserve">  Vermont formed more captives in 2011 than Bermuda or the Cayman Islands, which represent the world’s two largest domiciles.  Vermont is the third largest domicile.</w:t>
      </w:r>
    </w:p>
    <w:p w:rsidR="001120BE" w:rsidRPr="000A3BE6" w:rsidRDefault="001120BE" w:rsidP="002F5B01">
      <w:pPr>
        <w:numPr>
          <w:ilvl w:val="0"/>
          <w:numId w:val="7"/>
        </w:numPr>
      </w:pPr>
      <w:r>
        <w:t>2010 &amp; 2011 are the only two years in Vermont’s history where Vermont has licensed more new captive insurance companies than both Bermuda and the Cayman Islands.</w:t>
      </w:r>
    </w:p>
    <w:p w:rsidR="000A3BE6" w:rsidRDefault="000A3BE6" w:rsidP="002F5B01">
      <w:pPr>
        <w:numPr>
          <w:ilvl w:val="0"/>
          <w:numId w:val="7"/>
        </w:numPr>
      </w:pPr>
      <w:r w:rsidRPr="000A3BE6">
        <w:t>The captive insurance program budget comprise</w:t>
      </w:r>
      <w:r w:rsidR="00401444">
        <w:t>s s</w:t>
      </w:r>
      <w:r w:rsidRPr="000A3BE6">
        <w:t xml:space="preserve">pecial </w:t>
      </w:r>
      <w:r w:rsidR="00401444">
        <w:t>f</w:t>
      </w:r>
      <w:r w:rsidRPr="000A3BE6">
        <w:t xml:space="preserve">unds and has been level funded since 2006. </w:t>
      </w:r>
    </w:p>
    <w:p w:rsidR="00943540" w:rsidRPr="000A3BE6" w:rsidRDefault="00943540" w:rsidP="00943540">
      <w:pPr>
        <w:ind w:left="720"/>
      </w:pPr>
    </w:p>
    <w:p w:rsidR="000A3BE6" w:rsidRPr="000A3BE6" w:rsidRDefault="000A3BE6" w:rsidP="000A3BE6">
      <w:r w:rsidRPr="000A3BE6">
        <w:t>Program measures include:</w:t>
      </w:r>
    </w:p>
    <w:p w:rsidR="000A3BE6" w:rsidRPr="000A3BE6" w:rsidRDefault="000A3BE6" w:rsidP="002F5B01">
      <w:pPr>
        <w:numPr>
          <w:ilvl w:val="0"/>
          <w:numId w:val="7"/>
        </w:numPr>
      </w:pPr>
      <w:r w:rsidRPr="000A3BE6">
        <w:t xml:space="preserve">The captive insurance industry generates in excess of </w:t>
      </w:r>
      <w:r w:rsidRPr="000B58A2">
        <w:t>$25 million</w:t>
      </w:r>
      <w:r w:rsidRPr="000A3BE6">
        <w:rPr>
          <w:b/>
        </w:rPr>
        <w:t xml:space="preserve"> </w:t>
      </w:r>
      <w:r w:rsidRPr="000A3BE6">
        <w:t>in tax revenues and licensing fees to the state annually</w:t>
      </w:r>
      <w:r w:rsidR="00061082">
        <w:t>.</w:t>
      </w:r>
    </w:p>
    <w:p w:rsidR="000A3BE6" w:rsidRPr="000A3BE6" w:rsidRDefault="000A3BE6" w:rsidP="002F5B01">
      <w:pPr>
        <w:numPr>
          <w:ilvl w:val="0"/>
          <w:numId w:val="7"/>
        </w:numPr>
      </w:pPr>
      <w:r w:rsidRPr="000A3BE6">
        <w:t>In an economic impact report for tax year 2003, the captive insurance industry accounted for 1,429 full and part-time jobs, with an average salary for a full-time employee of $52,179, a full 62</w:t>
      </w:r>
      <w:r w:rsidR="00061082">
        <w:t>% higher than the state average.</w:t>
      </w:r>
      <w:r w:rsidRPr="000A3BE6">
        <w:t xml:space="preserve"> </w:t>
      </w:r>
    </w:p>
    <w:p w:rsidR="000A3BE6" w:rsidRPr="000A3BE6" w:rsidRDefault="000A3BE6" w:rsidP="002F5B01">
      <w:pPr>
        <w:numPr>
          <w:ilvl w:val="0"/>
          <w:numId w:val="7"/>
        </w:numPr>
      </w:pPr>
      <w:r w:rsidRPr="000A3BE6">
        <w:t>These high paying jobs accounted for $62.4 million in incremental income</w:t>
      </w:r>
      <w:r w:rsidR="004B7ECC">
        <w:t xml:space="preserve"> </w:t>
      </w:r>
      <w:r w:rsidRPr="000A3BE6">
        <w:t>for Vermonters</w:t>
      </w:r>
      <w:r w:rsidR="00061082">
        <w:t>.</w:t>
      </w:r>
    </w:p>
    <w:p w:rsidR="000A3BE6" w:rsidRPr="000A3BE6" w:rsidRDefault="000A3BE6" w:rsidP="000A3BE6"/>
    <w:tbl>
      <w:tblPr>
        <w:tblW w:w="5000" w:type="pct"/>
        <w:tblBorders>
          <w:top w:val="single" w:sz="8" w:space="0" w:color="000000"/>
          <w:bottom w:val="single" w:sz="8" w:space="0" w:color="000000"/>
        </w:tblBorders>
        <w:tblLook w:val="04A0"/>
      </w:tblPr>
      <w:tblGrid>
        <w:gridCol w:w="959"/>
        <w:gridCol w:w="1916"/>
        <w:gridCol w:w="1676"/>
        <w:gridCol w:w="2303"/>
        <w:gridCol w:w="2817"/>
        <w:gridCol w:w="3505"/>
      </w:tblGrid>
      <w:tr w:rsidR="000A3BE6" w:rsidRPr="000A3BE6" w:rsidTr="00761CF2">
        <w:trPr>
          <w:trHeight w:val="675"/>
        </w:trPr>
        <w:tc>
          <w:tcPr>
            <w:tcW w:w="364"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br/>
              <w:t>Year</w:t>
            </w:r>
          </w:p>
        </w:tc>
        <w:tc>
          <w:tcPr>
            <w:tcW w:w="727"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t>New</w:t>
            </w:r>
            <w:r w:rsidRPr="000A3BE6">
              <w:br/>
              <w:t>Captives</w:t>
            </w:r>
          </w:p>
        </w:tc>
        <w:tc>
          <w:tcPr>
            <w:tcW w:w="636"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t>Total Captives</w:t>
            </w:r>
          </w:p>
        </w:tc>
        <w:tc>
          <w:tcPr>
            <w:tcW w:w="874"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t>Premium</w:t>
            </w:r>
            <w:r w:rsidRPr="000A3BE6">
              <w:br/>
              <w:t>Taxes</w:t>
            </w:r>
          </w:p>
        </w:tc>
        <w:tc>
          <w:tcPr>
            <w:tcW w:w="1069"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t xml:space="preserve">             Licenses</w:t>
            </w:r>
            <w:r w:rsidRPr="000A3BE6">
              <w:br/>
              <w:t xml:space="preserve">             &amp; Fees</w:t>
            </w:r>
          </w:p>
        </w:tc>
        <w:tc>
          <w:tcPr>
            <w:tcW w:w="1330" w:type="pct"/>
            <w:tcBorders>
              <w:top w:val="single" w:sz="8" w:space="0" w:color="000000"/>
              <w:left w:val="nil"/>
              <w:bottom w:val="single" w:sz="8" w:space="0" w:color="000000"/>
              <w:right w:val="nil"/>
            </w:tcBorders>
            <w:hideMark/>
          </w:tcPr>
          <w:p w:rsidR="000A3BE6" w:rsidRPr="000A3BE6" w:rsidRDefault="000A3BE6" w:rsidP="000A3BE6">
            <w:pPr>
              <w:rPr>
                <w:b/>
                <w:bCs/>
              </w:rPr>
            </w:pPr>
            <w:r w:rsidRPr="000A3BE6">
              <w:t>Gross Written Premium</w:t>
            </w:r>
          </w:p>
        </w:tc>
      </w:tr>
      <w:tr w:rsidR="00FE1276" w:rsidRPr="000A3BE6" w:rsidTr="00FE1276">
        <w:trPr>
          <w:trHeight w:val="605"/>
        </w:trPr>
        <w:tc>
          <w:tcPr>
            <w:tcW w:w="364" w:type="pct"/>
            <w:tcBorders>
              <w:left w:val="nil"/>
              <w:right w:val="nil"/>
            </w:tcBorders>
            <w:shd w:val="clear" w:color="auto" w:fill="C0C0C0"/>
            <w:hideMark/>
          </w:tcPr>
          <w:p w:rsidR="00FE1276" w:rsidRPr="000A3BE6" w:rsidRDefault="00FE1276" w:rsidP="00FE1276">
            <w:pPr>
              <w:rPr>
                <w:b/>
                <w:bCs/>
              </w:rPr>
            </w:pPr>
            <w:r w:rsidRPr="000A3BE6">
              <w:rPr>
                <w:b/>
                <w:bCs/>
              </w:rPr>
              <w:t>201</w:t>
            </w:r>
            <w:r>
              <w:rPr>
                <w:b/>
                <w:bCs/>
              </w:rPr>
              <w:t>3</w:t>
            </w:r>
          </w:p>
        </w:tc>
        <w:tc>
          <w:tcPr>
            <w:tcW w:w="727" w:type="pct"/>
            <w:tcBorders>
              <w:left w:val="nil"/>
              <w:right w:val="nil"/>
            </w:tcBorders>
            <w:shd w:val="clear" w:color="auto" w:fill="C0C0C0"/>
            <w:hideMark/>
          </w:tcPr>
          <w:p w:rsidR="00FE1276" w:rsidRPr="000A3BE6" w:rsidRDefault="00FE1276" w:rsidP="00FE1276">
            <w:r>
              <w:t>30*</w:t>
            </w:r>
          </w:p>
        </w:tc>
        <w:tc>
          <w:tcPr>
            <w:tcW w:w="636" w:type="pct"/>
            <w:tcBorders>
              <w:left w:val="nil"/>
              <w:right w:val="nil"/>
            </w:tcBorders>
            <w:shd w:val="clear" w:color="auto" w:fill="C0C0C0"/>
            <w:hideMark/>
          </w:tcPr>
          <w:p w:rsidR="00FE1276" w:rsidRPr="000A3BE6" w:rsidRDefault="00FE1276" w:rsidP="00FE1276">
            <w:r>
              <w:t>1012*</w:t>
            </w:r>
          </w:p>
        </w:tc>
        <w:tc>
          <w:tcPr>
            <w:tcW w:w="874" w:type="pct"/>
            <w:tcBorders>
              <w:left w:val="nil"/>
              <w:right w:val="nil"/>
            </w:tcBorders>
            <w:shd w:val="clear" w:color="auto" w:fill="C0C0C0"/>
            <w:hideMark/>
          </w:tcPr>
          <w:p w:rsidR="00FE1276" w:rsidRPr="000A3BE6" w:rsidRDefault="00336825" w:rsidP="00FE1276">
            <w:r>
              <w:t>$24,2</w:t>
            </w:r>
            <w:r w:rsidR="00FE1276">
              <w:t>50,000</w:t>
            </w:r>
            <w:r w:rsidR="00FE1276" w:rsidRPr="000A3BE6">
              <w:t>*</w:t>
            </w:r>
          </w:p>
        </w:tc>
        <w:tc>
          <w:tcPr>
            <w:tcW w:w="1069" w:type="pct"/>
            <w:tcBorders>
              <w:left w:val="nil"/>
              <w:right w:val="nil"/>
            </w:tcBorders>
            <w:shd w:val="clear" w:color="auto" w:fill="C0C0C0"/>
            <w:hideMark/>
          </w:tcPr>
          <w:p w:rsidR="00FE1276" w:rsidRPr="000A3BE6" w:rsidRDefault="00FE1276" w:rsidP="00FE1276">
            <w:r>
              <w:tab/>
              <w:t>$2,120,000</w:t>
            </w:r>
            <w:r w:rsidRPr="000A3BE6">
              <w:t>*</w:t>
            </w:r>
          </w:p>
        </w:tc>
        <w:tc>
          <w:tcPr>
            <w:tcW w:w="1330" w:type="pct"/>
            <w:tcBorders>
              <w:left w:val="nil"/>
              <w:right w:val="nil"/>
            </w:tcBorders>
            <w:shd w:val="clear" w:color="auto" w:fill="C0C0C0"/>
            <w:hideMark/>
          </w:tcPr>
          <w:p w:rsidR="00FE1276" w:rsidRPr="000A3BE6" w:rsidRDefault="00336825" w:rsidP="00FE1276">
            <w:r>
              <w:tab/>
              <w:t>$24,000,000,000</w:t>
            </w:r>
            <w:r w:rsidR="00FE1276" w:rsidRPr="000A3BE6">
              <w:t>*</w:t>
            </w:r>
          </w:p>
        </w:tc>
      </w:tr>
      <w:tr w:rsidR="00FE1276" w:rsidRPr="000A3BE6" w:rsidTr="00FE1276">
        <w:trPr>
          <w:trHeight w:val="605"/>
        </w:trPr>
        <w:tc>
          <w:tcPr>
            <w:tcW w:w="364" w:type="pct"/>
            <w:hideMark/>
          </w:tcPr>
          <w:p w:rsidR="00FE1276" w:rsidRPr="000A3BE6" w:rsidRDefault="00FE1276" w:rsidP="00FE1276">
            <w:pPr>
              <w:rPr>
                <w:b/>
                <w:bCs/>
              </w:rPr>
            </w:pPr>
            <w:r w:rsidRPr="000A3BE6">
              <w:rPr>
                <w:b/>
                <w:bCs/>
              </w:rPr>
              <w:t>20</w:t>
            </w:r>
            <w:r>
              <w:rPr>
                <w:b/>
                <w:bCs/>
              </w:rPr>
              <w:t>12</w:t>
            </w:r>
          </w:p>
        </w:tc>
        <w:tc>
          <w:tcPr>
            <w:tcW w:w="727" w:type="pct"/>
            <w:hideMark/>
          </w:tcPr>
          <w:p w:rsidR="00FE1276" w:rsidRPr="000A3BE6" w:rsidRDefault="00FE1276" w:rsidP="00FE1276">
            <w:r w:rsidRPr="000A3BE6">
              <w:t>3</w:t>
            </w:r>
            <w:r>
              <w:t>0*</w:t>
            </w:r>
          </w:p>
        </w:tc>
        <w:tc>
          <w:tcPr>
            <w:tcW w:w="636" w:type="pct"/>
            <w:hideMark/>
          </w:tcPr>
          <w:p w:rsidR="00FE1276" w:rsidRPr="000A3BE6" w:rsidRDefault="00FE1276" w:rsidP="00FE1276">
            <w:r>
              <w:t>982*</w:t>
            </w:r>
          </w:p>
        </w:tc>
        <w:tc>
          <w:tcPr>
            <w:tcW w:w="874" w:type="pct"/>
            <w:hideMark/>
          </w:tcPr>
          <w:p w:rsidR="00FE1276" w:rsidRPr="000A3BE6" w:rsidRDefault="00336825" w:rsidP="00FE1276">
            <w:r>
              <w:t>$24,000,000</w:t>
            </w:r>
            <w:r w:rsidR="00FE1276">
              <w:t>*</w:t>
            </w:r>
          </w:p>
        </w:tc>
        <w:tc>
          <w:tcPr>
            <w:tcW w:w="1069" w:type="pct"/>
            <w:hideMark/>
          </w:tcPr>
          <w:p w:rsidR="00FE1276" w:rsidRPr="000A3BE6" w:rsidRDefault="00336825" w:rsidP="00FE1276">
            <w:r>
              <w:tab/>
              <w:t>$2,120</w:t>
            </w:r>
            <w:r w:rsidR="00FE1276">
              <w:t>,000*</w:t>
            </w:r>
            <w:r w:rsidR="00FE1276" w:rsidRPr="000A3BE6">
              <w:t xml:space="preserve"> </w:t>
            </w:r>
          </w:p>
        </w:tc>
        <w:tc>
          <w:tcPr>
            <w:tcW w:w="1330" w:type="pct"/>
            <w:hideMark/>
          </w:tcPr>
          <w:p w:rsidR="00FE1276" w:rsidRPr="000A3BE6" w:rsidRDefault="00336825" w:rsidP="00FE1276">
            <w:r>
              <w:tab/>
              <w:t>$23,000,000,000</w:t>
            </w:r>
            <w:r w:rsidR="00FE1276" w:rsidRPr="000A3BE6">
              <w:t xml:space="preserve"> </w:t>
            </w:r>
            <w:r w:rsidR="00FE1276">
              <w:t>*</w:t>
            </w:r>
          </w:p>
        </w:tc>
      </w:tr>
      <w:tr w:rsidR="000A3BE6" w:rsidRPr="000A3BE6" w:rsidTr="00761CF2">
        <w:trPr>
          <w:trHeight w:val="605"/>
        </w:trPr>
        <w:tc>
          <w:tcPr>
            <w:tcW w:w="364" w:type="pct"/>
            <w:tcBorders>
              <w:left w:val="nil"/>
              <w:right w:val="nil"/>
            </w:tcBorders>
            <w:shd w:val="clear" w:color="auto" w:fill="C0C0C0"/>
            <w:hideMark/>
          </w:tcPr>
          <w:p w:rsidR="000A3BE6" w:rsidRPr="000A3BE6" w:rsidRDefault="000A3BE6" w:rsidP="000A3BE6">
            <w:pPr>
              <w:rPr>
                <w:b/>
                <w:bCs/>
              </w:rPr>
            </w:pPr>
            <w:r w:rsidRPr="000A3BE6">
              <w:rPr>
                <w:b/>
                <w:bCs/>
              </w:rPr>
              <w:t>201</w:t>
            </w:r>
            <w:r w:rsidR="003E2EF1">
              <w:rPr>
                <w:b/>
                <w:bCs/>
              </w:rPr>
              <w:t>1</w:t>
            </w:r>
          </w:p>
        </w:tc>
        <w:tc>
          <w:tcPr>
            <w:tcW w:w="727" w:type="pct"/>
            <w:tcBorders>
              <w:left w:val="nil"/>
              <w:right w:val="nil"/>
            </w:tcBorders>
            <w:shd w:val="clear" w:color="auto" w:fill="C0C0C0"/>
            <w:hideMark/>
          </w:tcPr>
          <w:p w:rsidR="000A3BE6" w:rsidRPr="000A3BE6" w:rsidRDefault="003E2EF1" w:rsidP="000A3BE6">
            <w:r>
              <w:t>41</w:t>
            </w:r>
          </w:p>
        </w:tc>
        <w:tc>
          <w:tcPr>
            <w:tcW w:w="636" w:type="pct"/>
            <w:tcBorders>
              <w:left w:val="nil"/>
              <w:right w:val="nil"/>
            </w:tcBorders>
            <w:shd w:val="clear" w:color="auto" w:fill="C0C0C0"/>
            <w:hideMark/>
          </w:tcPr>
          <w:p w:rsidR="000A3BE6" w:rsidRPr="000A3BE6" w:rsidRDefault="000A3BE6" w:rsidP="000A3BE6">
            <w:r w:rsidRPr="000A3BE6">
              <w:t>9</w:t>
            </w:r>
            <w:r w:rsidR="003E2EF1">
              <w:t>52</w:t>
            </w:r>
          </w:p>
        </w:tc>
        <w:tc>
          <w:tcPr>
            <w:tcW w:w="874" w:type="pct"/>
            <w:tcBorders>
              <w:left w:val="nil"/>
              <w:right w:val="nil"/>
            </w:tcBorders>
            <w:shd w:val="clear" w:color="auto" w:fill="C0C0C0"/>
            <w:hideMark/>
          </w:tcPr>
          <w:p w:rsidR="000A3BE6" w:rsidRPr="000A3BE6" w:rsidRDefault="003E2EF1" w:rsidP="000A3BE6">
            <w:r>
              <w:t>$23,750,000</w:t>
            </w:r>
            <w:r w:rsidR="000A3BE6" w:rsidRPr="000A3BE6">
              <w:t>*</w:t>
            </w:r>
          </w:p>
        </w:tc>
        <w:tc>
          <w:tcPr>
            <w:tcW w:w="1069" w:type="pct"/>
            <w:tcBorders>
              <w:left w:val="nil"/>
              <w:right w:val="nil"/>
            </w:tcBorders>
            <w:shd w:val="clear" w:color="auto" w:fill="C0C0C0"/>
            <w:hideMark/>
          </w:tcPr>
          <w:p w:rsidR="000A3BE6" w:rsidRPr="000A3BE6" w:rsidRDefault="003E2EF1" w:rsidP="000A3BE6">
            <w:r>
              <w:tab/>
              <w:t>$2,120,000</w:t>
            </w:r>
            <w:r w:rsidR="000A3BE6" w:rsidRPr="000A3BE6">
              <w:t>*</w:t>
            </w:r>
          </w:p>
        </w:tc>
        <w:tc>
          <w:tcPr>
            <w:tcW w:w="1330" w:type="pct"/>
            <w:tcBorders>
              <w:left w:val="nil"/>
              <w:right w:val="nil"/>
            </w:tcBorders>
            <w:shd w:val="clear" w:color="auto" w:fill="C0C0C0"/>
            <w:hideMark/>
          </w:tcPr>
          <w:p w:rsidR="000A3BE6" w:rsidRPr="000A3BE6" w:rsidRDefault="003E2EF1" w:rsidP="000A3BE6">
            <w:r>
              <w:tab/>
              <w:t>$22</w:t>
            </w:r>
            <w:r w:rsidR="000A3BE6" w:rsidRPr="000A3BE6">
              <w:t>,100,000,000*</w:t>
            </w:r>
          </w:p>
        </w:tc>
      </w:tr>
      <w:tr w:rsidR="000A3BE6" w:rsidRPr="000A3BE6" w:rsidTr="00761CF2">
        <w:trPr>
          <w:trHeight w:val="605"/>
        </w:trPr>
        <w:tc>
          <w:tcPr>
            <w:tcW w:w="364" w:type="pct"/>
            <w:hideMark/>
          </w:tcPr>
          <w:p w:rsidR="000A3BE6" w:rsidRPr="000A3BE6" w:rsidRDefault="000A3BE6" w:rsidP="000A3BE6">
            <w:pPr>
              <w:rPr>
                <w:b/>
                <w:bCs/>
              </w:rPr>
            </w:pPr>
            <w:r w:rsidRPr="000A3BE6">
              <w:rPr>
                <w:b/>
                <w:bCs/>
              </w:rPr>
              <w:t>20</w:t>
            </w:r>
            <w:r w:rsidR="003E2EF1">
              <w:rPr>
                <w:b/>
                <w:bCs/>
              </w:rPr>
              <w:t>10</w:t>
            </w:r>
          </w:p>
        </w:tc>
        <w:tc>
          <w:tcPr>
            <w:tcW w:w="727" w:type="pct"/>
            <w:hideMark/>
          </w:tcPr>
          <w:p w:rsidR="000A3BE6" w:rsidRPr="000A3BE6" w:rsidRDefault="000A3BE6" w:rsidP="000A3BE6">
            <w:r w:rsidRPr="000A3BE6">
              <w:t>3</w:t>
            </w:r>
            <w:r w:rsidR="003E2EF1">
              <w:t>3</w:t>
            </w:r>
          </w:p>
        </w:tc>
        <w:tc>
          <w:tcPr>
            <w:tcW w:w="636" w:type="pct"/>
            <w:hideMark/>
          </w:tcPr>
          <w:p w:rsidR="000A3BE6" w:rsidRPr="000A3BE6" w:rsidRDefault="003E2EF1" w:rsidP="000A3BE6">
            <w:r>
              <w:t>911</w:t>
            </w:r>
          </w:p>
        </w:tc>
        <w:tc>
          <w:tcPr>
            <w:tcW w:w="874" w:type="pct"/>
            <w:hideMark/>
          </w:tcPr>
          <w:p w:rsidR="000A3BE6" w:rsidRPr="000A3BE6" w:rsidRDefault="000A3BE6" w:rsidP="000A3BE6">
            <w:r w:rsidRPr="000A3BE6">
              <w:t>$23,</w:t>
            </w:r>
            <w:r w:rsidR="003E2EF1">
              <w:t>544,181</w:t>
            </w:r>
          </w:p>
        </w:tc>
        <w:tc>
          <w:tcPr>
            <w:tcW w:w="1069" w:type="pct"/>
            <w:hideMark/>
          </w:tcPr>
          <w:p w:rsidR="000A3BE6" w:rsidRPr="000A3BE6" w:rsidRDefault="003E2EF1" w:rsidP="000A3BE6">
            <w:r>
              <w:tab/>
              <w:t>$1,785,686</w:t>
            </w:r>
            <w:r w:rsidR="000A3BE6" w:rsidRPr="000A3BE6">
              <w:t xml:space="preserve"> </w:t>
            </w:r>
          </w:p>
        </w:tc>
        <w:tc>
          <w:tcPr>
            <w:tcW w:w="1330" w:type="pct"/>
            <w:hideMark/>
          </w:tcPr>
          <w:p w:rsidR="000A3BE6" w:rsidRPr="000A3BE6" w:rsidRDefault="003E2EF1" w:rsidP="000A3BE6">
            <w:r>
              <w:tab/>
              <w:t>$25,401,473,436</w:t>
            </w:r>
            <w:r w:rsidR="000A3BE6" w:rsidRPr="000A3BE6">
              <w:t xml:space="preserve"> </w:t>
            </w:r>
          </w:p>
        </w:tc>
      </w:tr>
      <w:tr w:rsidR="000A3BE6" w:rsidRPr="000A3BE6" w:rsidTr="00761CF2">
        <w:trPr>
          <w:trHeight w:val="605"/>
        </w:trPr>
        <w:tc>
          <w:tcPr>
            <w:tcW w:w="364" w:type="pct"/>
            <w:tcBorders>
              <w:left w:val="nil"/>
              <w:right w:val="nil"/>
            </w:tcBorders>
            <w:shd w:val="clear" w:color="auto" w:fill="C0C0C0"/>
            <w:hideMark/>
          </w:tcPr>
          <w:p w:rsidR="000A3BE6" w:rsidRPr="000A3BE6" w:rsidRDefault="000A3BE6" w:rsidP="000A3BE6">
            <w:pPr>
              <w:rPr>
                <w:b/>
                <w:bCs/>
              </w:rPr>
            </w:pPr>
            <w:r w:rsidRPr="000A3BE6">
              <w:rPr>
                <w:b/>
                <w:bCs/>
              </w:rPr>
              <w:t>200</w:t>
            </w:r>
            <w:r w:rsidR="003E2EF1">
              <w:rPr>
                <w:b/>
                <w:bCs/>
              </w:rPr>
              <w:t>9</w:t>
            </w:r>
          </w:p>
        </w:tc>
        <w:tc>
          <w:tcPr>
            <w:tcW w:w="727" w:type="pct"/>
            <w:tcBorders>
              <w:left w:val="nil"/>
              <w:right w:val="nil"/>
            </w:tcBorders>
            <w:shd w:val="clear" w:color="auto" w:fill="C0C0C0"/>
            <w:hideMark/>
          </w:tcPr>
          <w:p w:rsidR="000A3BE6" w:rsidRPr="000A3BE6" w:rsidRDefault="003E2EF1" w:rsidP="000A3BE6">
            <w:r>
              <w:t>39</w:t>
            </w:r>
          </w:p>
        </w:tc>
        <w:tc>
          <w:tcPr>
            <w:tcW w:w="636" w:type="pct"/>
            <w:tcBorders>
              <w:left w:val="nil"/>
              <w:right w:val="nil"/>
            </w:tcBorders>
            <w:shd w:val="clear" w:color="auto" w:fill="C0C0C0"/>
            <w:hideMark/>
          </w:tcPr>
          <w:p w:rsidR="000A3BE6" w:rsidRPr="000A3BE6" w:rsidRDefault="000A3BE6" w:rsidP="000A3BE6">
            <w:r w:rsidRPr="000A3BE6">
              <w:t>8</w:t>
            </w:r>
            <w:r w:rsidR="003E2EF1">
              <w:t>78</w:t>
            </w:r>
          </w:p>
        </w:tc>
        <w:tc>
          <w:tcPr>
            <w:tcW w:w="874" w:type="pct"/>
            <w:tcBorders>
              <w:left w:val="nil"/>
              <w:right w:val="nil"/>
            </w:tcBorders>
            <w:shd w:val="clear" w:color="auto" w:fill="C0C0C0"/>
            <w:hideMark/>
          </w:tcPr>
          <w:p w:rsidR="000A3BE6" w:rsidRPr="000A3BE6" w:rsidRDefault="000A3BE6" w:rsidP="000A3BE6">
            <w:r w:rsidRPr="000A3BE6">
              <w:t>$2</w:t>
            </w:r>
            <w:r w:rsidR="003E2EF1">
              <w:t>3</w:t>
            </w:r>
            <w:r w:rsidR="00635461">
              <w:t>,</w:t>
            </w:r>
            <w:r w:rsidR="003E2EF1">
              <w:t>905,735</w:t>
            </w:r>
          </w:p>
        </w:tc>
        <w:tc>
          <w:tcPr>
            <w:tcW w:w="1069" w:type="pct"/>
            <w:tcBorders>
              <w:left w:val="nil"/>
              <w:right w:val="nil"/>
            </w:tcBorders>
            <w:shd w:val="clear" w:color="auto" w:fill="C0C0C0"/>
            <w:hideMark/>
          </w:tcPr>
          <w:p w:rsidR="000A3BE6" w:rsidRPr="000A3BE6" w:rsidRDefault="000A3BE6" w:rsidP="000A3BE6">
            <w:r w:rsidRPr="000A3BE6">
              <w:tab/>
              <w:t>$2,</w:t>
            </w:r>
            <w:r w:rsidR="003E2EF1">
              <w:t>137,569</w:t>
            </w:r>
          </w:p>
        </w:tc>
        <w:tc>
          <w:tcPr>
            <w:tcW w:w="1330" w:type="pct"/>
            <w:tcBorders>
              <w:left w:val="nil"/>
              <w:right w:val="nil"/>
            </w:tcBorders>
            <w:shd w:val="clear" w:color="auto" w:fill="C0C0C0"/>
            <w:hideMark/>
          </w:tcPr>
          <w:p w:rsidR="000A3BE6" w:rsidRPr="000A3BE6" w:rsidRDefault="000A3BE6" w:rsidP="000A3BE6">
            <w:r w:rsidRPr="000A3BE6">
              <w:tab/>
              <w:t>$</w:t>
            </w:r>
            <w:r w:rsidR="003E2EF1">
              <w:t>77,482,060,424</w:t>
            </w:r>
          </w:p>
        </w:tc>
      </w:tr>
      <w:tr w:rsidR="000A3BE6" w:rsidRPr="000A3BE6" w:rsidTr="00761CF2">
        <w:trPr>
          <w:trHeight w:val="605"/>
        </w:trPr>
        <w:tc>
          <w:tcPr>
            <w:tcW w:w="364" w:type="pct"/>
            <w:hideMark/>
          </w:tcPr>
          <w:p w:rsidR="000A3BE6" w:rsidRPr="000A3BE6" w:rsidRDefault="000A3BE6" w:rsidP="000A3BE6">
            <w:pPr>
              <w:rPr>
                <w:b/>
                <w:bCs/>
              </w:rPr>
            </w:pPr>
            <w:r w:rsidRPr="000A3BE6">
              <w:rPr>
                <w:b/>
                <w:bCs/>
              </w:rPr>
              <w:t>200</w:t>
            </w:r>
            <w:r w:rsidR="003E2EF1">
              <w:rPr>
                <w:b/>
                <w:bCs/>
              </w:rPr>
              <w:t>8</w:t>
            </w:r>
          </w:p>
        </w:tc>
        <w:tc>
          <w:tcPr>
            <w:tcW w:w="727" w:type="pct"/>
            <w:hideMark/>
          </w:tcPr>
          <w:p w:rsidR="000A3BE6" w:rsidRPr="000A3BE6" w:rsidRDefault="003E2EF1" w:rsidP="003E2EF1">
            <w:r>
              <w:t>16</w:t>
            </w:r>
          </w:p>
        </w:tc>
        <w:tc>
          <w:tcPr>
            <w:tcW w:w="636" w:type="pct"/>
            <w:hideMark/>
          </w:tcPr>
          <w:p w:rsidR="000A3BE6" w:rsidRPr="000A3BE6" w:rsidRDefault="003E2EF1" w:rsidP="000A3BE6">
            <w:r>
              <w:t>839</w:t>
            </w:r>
          </w:p>
        </w:tc>
        <w:tc>
          <w:tcPr>
            <w:tcW w:w="874" w:type="pct"/>
            <w:hideMark/>
          </w:tcPr>
          <w:p w:rsidR="000A3BE6" w:rsidRPr="000A3BE6" w:rsidRDefault="000A3BE6" w:rsidP="000A3BE6">
            <w:r w:rsidRPr="000A3BE6">
              <w:t>$2</w:t>
            </w:r>
            <w:r w:rsidR="003E2EF1">
              <w:t>4,187,834</w:t>
            </w:r>
          </w:p>
        </w:tc>
        <w:tc>
          <w:tcPr>
            <w:tcW w:w="1069" w:type="pct"/>
            <w:hideMark/>
          </w:tcPr>
          <w:p w:rsidR="000A3BE6" w:rsidRPr="000A3BE6" w:rsidRDefault="000A3BE6" w:rsidP="003E2EF1">
            <w:r w:rsidRPr="000A3BE6">
              <w:tab/>
              <w:t>$</w:t>
            </w:r>
            <w:r w:rsidR="003E2EF1">
              <w:t>2,029,869</w:t>
            </w:r>
            <w:r w:rsidRPr="000A3BE6">
              <w:t xml:space="preserve"> </w:t>
            </w:r>
          </w:p>
        </w:tc>
        <w:tc>
          <w:tcPr>
            <w:tcW w:w="1330" w:type="pct"/>
            <w:hideMark/>
          </w:tcPr>
          <w:p w:rsidR="000A3BE6" w:rsidRPr="000A3BE6" w:rsidRDefault="000A3BE6" w:rsidP="003E2EF1">
            <w:r w:rsidRPr="000A3BE6">
              <w:tab/>
              <w:t>$1</w:t>
            </w:r>
            <w:r w:rsidR="003E2EF1">
              <w:t>6,179,551,601</w:t>
            </w:r>
            <w:r w:rsidRPr="000A3BE6">
              <w:t xml:space="preserve"> </w:t>
            </w:r>
          </w:p>
        </w:tc>
      </w:tr>
      <w:tr w:rsidR="000A3BE6" w:rsidRPr="000A3BE6" w:rsidTr="00761CF2">
        <w:trPr>
          <w:trHeight w:val="605"/>
        </w:trPr>
        <w:tc>
          <w:tcPr>
            <w:tcW w:w="364" w:type="pct"/>
            <w:tcBorders>
              <w:left w:val="nil"/>
              <w:right w:val="nil"/>
            </w:tcBorders>
            <w:shd w:val="clear" w:color="auto" w:fill="C0C0C0"/>
            <w:hideMark/>
          </w:tcPr>
          <w:p w:rsidR="000A3BE6" w:rsidRPr="000A3BE6" w:rsidRDefault="000A3BE6" w:rsidP="000A3BE6">
            <w:pPr>
              <w:rPr>
                <w:b/>
                <w:bCs/>
              </w:rPr>
            </w:pPr>
            <w:r w:rsidRPr="000A3BE6">
              <w:rPr>
                <w:b/>
                <w:bCs/>
              </w:rPr>
              <w:t>200</w:t>
            </w:r>
            <w:r w:rsidR="003E2EF1">
              <w:rPr>
                <w:b/>
                <w:bCs/>
              </w:rPr>
              <w:t>7</w:t>
            </w:r>
          </w:p>
        </w:tc>
        <w:tc>
          <w:tcPr>
            <w:tcW w:w="727" w:type="pct"/>
            <w:tcBorders>
              <w:left w:val="nil"/>
              <w:right w:val="nil"/>
            </w:tcBorders>
            <w:shd w:val="clear" w:color="auto" w:fill="C0C0C0"/>
            <w:hideMark/>
          </w:tcPr>
          <w:p w:rsidR="000A3BE6" w:rsidRPr="000A3BE6" w:rsidRDefault="000A3BE6" w:rsidP="000A3BE6">
            <w:r w:rsidRPr="000A3BE6">
              <w:t>3</w:t>
            </w:r>
            <w:r w:rsidR="003E2EF1">
              <w:t>2</w:t>
            </w:r>
          </w:p>
        </w:tc>
        <w:tc>
          <w:tcPr>
            <w:tcW w:w="636" w:type="pct"/>
            <w:tcBorders>
              <w:left w:val="nil"/>
              <w:right w:val="nil"/>
            </w:tcBorders>
            <w:shd w:val="clear" w:color="auto" w:fill="C0C0C0"/>
            <w:hideMark/>
          </w:tcPr>
          <w:p w:rsidR="000A3BE6" w:rsidRPr="000A3BE6" w:rsidRDefault="003E2EF1" w:rsidP="000A3BE6">
            <w:r>
              <w:t>823</w:t>
            </w:r>
          </w:p>
        </w:tc>
        <w:tc>
          <w:tcPr>
            <w:tcW w:w="874" w:type="pct"/>
            <w:tcBorders>
              <w:left w:val="nil"/>
              <w:right w:val="nil"/>
            </w:tcBorders>
            <w:shd w:val="clear" w:color="auto" w:fill="C0C0C0"/>
            <w:hideMark/>
          </w:tcPr>
          <w:p w:rsidR="000A3BE6" w:rsidRPr="000A3BE6" w:rsidRDefault="003E2EF1" w:rsidP="000A3BE6">
            <w:r>
              <w:t>$22,792,568</w:t>
            </w:r>
            <w:r w:rsidR="000A3BE6" w:rsidRPr="000A3BE6">
              <w:t xml:space="preserve"> </w:t>
            </w:r>
          </w:p>
        </w:tc>
        <w:tc>
          <w:tcPr>
            <w:tcW w:w="1069" w:type="pct"/>
            <w:tcBorders>
              <w:left w:val="nil"/>
              <w:right w:val="nil"/>
            </w:tcBorders>
            <w:shd w:val="clear" w:color="auto" w:fill="C0C0C0"/>
            <w:hideMark/>
          </w:tcPr>
          <w:p w:rsidR="000A3BE6" w:rsidRPr="000A3BE6" w:rsidRDefault="003E2EF1" w:rsidP="000A3BE6">
            <w:r>
              <w:tab/>
              <w:t>$1,624,218</w:t>
            </w:r>
            <w:r w:rsidR="000A3BE6" w:rsidRPr="000A3BE6">
              <w:t xml:space="preserve"> </w:t>
            </w:r>
          </w:p>
        </w:tc>
        <w:tc>
          <w:tcPr>
            <w:tcW w:w="1330" w:type="pct"/>
            <w:tcBorders>
              <w:left w:val="nil"/>
              <w:right w:val="nil"/>
            </w:tcBorders>
            <w:shd w:val="clear" w:color="auto" w:fill="C0C0C0"/>
            <w:hideMark/>
          </w:tcPr>
          <w:p w:rsidR="000A3BE6" w:rsidRPr="000A3BE6" w:rsidRDefault="000A3BE6" w:rsidP="000A3BE6">
            <w:r w:rsidRPr="000A3BE6">
              <w:tab/>
              <w:t>$1</w:t>
            </w:r>
            <w:r w:rsidR="003E2EF1">
              <w:t>5,291,815,556</w:t>
            </w:r>
          </w:p>
        </w:tc>
      </w:tr>
      <w:tr w:rsidR="000A3BE6" w:rsidRPr="000A3BE6" w:rsidTr="004B7ECC">
        <w:trPr>
          <w:trHeight w:val="153"/>
        </w:trPr>
        <w:tc>
          <w:tcPr>
            <w:tcW w:w="364" w:type="pct"/>
            <w:hideMark/>
          </w:tcPr>
          <w:p w:rsidR="000A3BE6" w:rsidRPr="000A3BE6" w:rsidRDefault="000A3BE6" w:rsidP="000A3BE6">
            <w:pPr>
              <w:rPr>
                <w:b/>
                <w:bCs/>
              </w:rPr>
            </w:pPr>
          </w:p>
        </w:tc>
        <w:tc>
          <w:tcPr>
            <w:tcW w:w="727" w:type="pct"/>
            <w:hideMark/>
          </w:tcPr>
          <w:p w:rsidR="000A3BE6" w:rsidRPr="000A3BE6" w:rsidRDefault="000A3BE6" w:rsidP="000A3BE6"/>
        </w:tc>
        <w:tc>
          <w:tcPr>
            <w:tcW w:w="636" w:type="pct"/>
            <w:hideMark/>
          </w:tcPr>
          <w:p w:rsidR="000A3BE6" w:rsidRPr="000A3BE6" w:rsidRDefault="000A3BE6" w:rsidP="000A3BE6"/>
        </w:tc>
        <w:tc>
          <w:tcPr>
            <w:tcW w:w="874" w:type="pct"/>
            <w:hideMark/>
          </w:tcPr>
          <w:p w:rsidR="000A3BE6" w:rsidRPr="000A3BE6" w:rsidRDefault="000A3BE6" w:rsidP="000A3BE6"/>
        </w:tc>
        <w:tc>
          <w:tcPr>
            <w:tcW w:w="1069" w:type="pct"/>
            <w:hideMark/>
          </w:tcPr>
          <w:p w:rsidR="000A3BE6" w:rsidRPr="000A3BE6" w:rsidRDefault="000A3BE6" w:rsidP="000A3BE6"/>
        </w:tc>
        <w:tc>
          <w:tcPr>
            <w:tcW w:w="1330" w:type="pct"/>
            <w:hideMark/>
          </w:tcPr>
          <w:p w:rsidR="000A3BE6" w:rsidRPr="000A3BE6" w:rsidRDefault="000A3BE6" w:rsidP="003E2EF1"/>
        </w:tc>
      </w:tr>
    </w:tbl>
    <w:p w:rsidR="000A3BE6" w:rsidRPr="000A3BE6" w:rsidRDefault="003E2EF1" w:rsidP="000A3BE6">
      <w:r>
        <w:t>*Projected figures for 2011</w:t>
      </w:r>
      <w:r w:rsidR="00336825">
        <w:t>, 2012 &amp; 2013</w:t>
      </w:r>
      <w:r w:rsidR="000A3BE6" w:rsidRPr="000A3BE6">
        <w:t xml:space="preserve"> </w:t>
      </w:r>
      <w:r w:rsidR="00336825">
        <w:t xml:space="preserve">(2011 </w:t>
      </w:r>
      <w:r w:rsidR="000A3BE6" w:rsidRPr="000A3BE6">
        <w:t>data is not complete at time of printing</w:t>
      </w:r>
      <w:r w:rsidR="00336825">
        <w:t>)</w:t>
      </w:r>
    </w:p>
    <w:p w:rsidR="00F25BE7" w:rsidRDefault="00F25BE7" w:rsidP="001B0A84"/>
    <w:p w:rsidR="00463EFF" w:rsidRDefault="00463EFF" w:rsidP="001B0A84">
      <w:pPr>
        <w:rPr>
          <w:b/>
        </w:rPr>
      </w:pPr>
    </w:p>
    <w:p w:rsidR="009B04EB" w:rsidRDefault="009B04EB" w:rsidP="001B0A84">
      <w:r>
        <w:rPr>
          <w:b/>
        </w:rPr>
        <w:t>Procurement Technical Assistance Center (PTAC)</w:t>
      </w:r>
      <w:r w:rsidR="003A0F9A">
        <w:rPr>
          <w:b/>
        </w:rPr>
        <w:t xml:space="preserve"> </w:t>
      </w:r>
      <w:r w:rsidR="003A0F9A" w:rsidRPr="003A0F9A">
        <w:t>is a</w:t>
      </w:r>
      <w:r w:rsidRPr="003A0F9A">
        <w:t xml:space="preserve"> </w:t>
      </w:r>
      <w:r>
        <w:t>nationally recognized program assists Vermont companies in securing government contracts and subcontracts as well as helping them through any technical issues they encounter as bidders, contractors or subcontractors. PTAC administers the state bid board that not only acts for state government, but also provides a place for local and regional government to post bids as well, providing one source for government contract bid posting in Vermont. Additionally, VTPTAC maintains the Vermont Business to Business Directory, a fully searchable database of over 15,000 Vermont businesses available on the internet.    </w:t>
      </w:r>
    </w:p>
    <w:p w:rsidR="009B04EB" w:rsidRDefault="009B04EB" w:rsidP="001B0A84"/>
    <w:p w:rsidR="009B04EB" w:rsidRDefault="009B04EB" w:rsidP="001B0A84">
      <w:r>
        <w:t xml:space="preserve">In an effort to measure how successful PTAC is at helping Vermont businesses secure contract, indicators utilized include: </w:t>
      </w:r>
    </w:p>
    <w:p w:rsidR="000B58A2" w:rsidRDefault="000B58A2" w:rsidP="000B58A2"/>
    <w:p w:rsidR="00E103FA" w:rsidRPr="00E103FA" w:rsidRDefault="00E103FA" w:rsidP="00E103FA">
      <w:pPr>
        <w:pStyle w:val="ListParagraph"/>
        <w:numPr>
          <w:ilvl w:val="0"/>
          <w:numId w:val="13"/>
        </w:numPr>
        <w:contextualSpacing w:val="0"/>
      </w:pPr>
      <w:r w:rsidRPr="00E103FA">
        <w:t>Number of subscribers to bid board – currently 2,026</w:t>
      </w:r>
    </w:p>
    <w:p w:rsidR="00E103FA" w:rsidRPr="00E103FA" w:rsidRDefault="00E103FA" w:rsidP="00E103FA">
      <w:pPr>
        <w:numPr>
          <w:ilvl w:val="0"/>
          <w:numId w:val="13"/>
        </w:numPr>
      </w:pPr>
      <w:r w:rsidRPr="00E103FA">
        <w:t>Number of PTAC clients were awarded contracts –  FY09 279 contracts, FY10 512 contracts, FY11, 440 contracts</w:t>
      </w:r>
      <w:r w:rsidR="00CC24A7">
        <w:t>, *FY12 455, *FY 13 470</w:t>
      </w:r>
    </w:p>
    <w:p w:rsidR="00E103FA" w:rsidRPr="00E103FA" w:rsidRDefault="00E103FA" w:rsidP="00E103FA">
      <w:pPr>
        <w:numPr>
          <w:ilvl w:val="0"/>
          <w:numId w:val="13"/>
        </w:numPr>
      </w:pPr>
      <w:r w:rsidRPr="00E103FA">
        <w:t>Total v</w:t>
      </w:r>
      <w:r w:rsidR="00347F5D">
        <w:t>alue to Vermont companies - FY09 over 43 million , FY</w:t>
      </w:r>
      <w:r w:rsidRPr="00E103FA">
        <w:t>10 over 119 million, FY11 over 89 million</w:t>
      </w:r>
      <w:r w:rsidR="00347F5D">
        <w:t xml:space="preserve">, </w:t>
      </w:r>
      <w:r w:rsidR="00CC24A7">
        <w:t>*FY12 93M and *FY13 95M</w:t>
      </w:r>
    </w:p>
    <w:p w:rsidR="00347F5D" w:rsidRDefault="00E103FA" w:rsidP="00E103FA">
      <w:pPr>
        <w:numPr>
          <w:ilvl w:val="0"/>
          <w:numId w:val="13"/>
        </w:numPr>
      </w:pPr>
      <w:r w:rsidRPr="00E103FA">
        <w:t>Program provided direct one-on-</w:t>
      </w:r>
      <w:r w:rsidR="00347F5D">
        <w:t>one counseling services to Vermont companies:</w:t>
      </w:r>
    </w:p>
    <w:p w:rsidR="00E103FA" w:rsidRDefault="00347F5D" w:rsidP="00347F5D">
      <w:pPr>
        <w:pBdr>
          <w:bottom w:val="single" w:sz="12" w:space="1" w:color="auto"/>
        </w:pBdr>
        <w:ind w:left="360"/>
      </w:pPr>
      <w:r>
        <w:t xml:space="preserve">           FY09 - 302; FY10 - 414</w:t>
      </w:r>
      <w:r w:rsidR="00E103FA" w:rsidRPr="00E103FA">
        <w:t>, FY11</w:t>
      </w:r>
      <w:r w:rsidR="00CC24A7">
        <w:t xml:space="preserve"> - 529,  </w:t>
      </w:r>
      <w:r>
        <w:t>*FY12 – 550 and *FY13 610</w:t>
      </w:r>
    </w:p>
    <w:p w:rsidR="00495287" w:rsidRPr="00E103FA" w:rsidRDefault="00495287" w:rsidP="00495287"/>
    <w:p w:rsidR="00886C49" w:rsidRPr="00495287" w:rsidRDefault="008C7E48" w:rsidP="008C7E48">
      <w:pPr>
        <w:rPr>
          <w:b/>
          <w:u w:val="single"/>
        </w:rPr>
      </w:pPr>
      <w:r w:rsidRPr="003D4EA0">
        <w:rPr>
          <w:rFonts w:ascii="Calibri" w:hAnsi="Calibri"/>
        </w:rPr>
        <w:t xml:space="preserve"> </w:t>
      </w:r>
      <w:r>
        <w:t xml:space="preserve"> </w:t>
      </w:r>
    </w:p>
    <w:p w:rsidR="00886C49" w:rsidRDefault="00886C49" w:rsidP="00886C49">
      <w:r w:rsidRPr="00495287">
        <w:rPr>
          <w:b/>
          <w:bCs/>
          <w:u w:val="single"/>
        </w:rPr>
        <w:t>International Trade</w:t>
      </w:r>
      <w:r w:rsidR="00495287" w:rsidRPr="00495287">
        <w:rPr>
          <w:b/>
          <w:bCs/>
          <w:u w:val="single"/>
        </w:rPr>
        <w:t>:</w:t>
      </w:r>
      <w:r w:rsidR="00495287" w:rsidRPr="00495287">
        <w:rPr>
          <w:rFonts w:ascii="Calibri" w:hAnsi="Calibri"/>
          <w:b/>
          <w:u w:val="single"/>
        </w:rPr>
        <w:t xml:space="preserve"> </w:t>
      </w:r>
      <w:r w:rsidR="00495287" w:rsidRPr="00495287">
        <w:rPr>
          <w:b/>
          <w:u w:val="single"/>
        </w:rPr>
        <w:t>the</w:t>
      </w:r>
      <w:r w:rsidRPr="00495287">
        <w:rPr>
          <w:b/>
          <w:u w:val="single"/>
        </w:rPr>
        <w:t xml:space="preserve"> Vermont Global Trade Partnership (VGTP)</w:t>
      </w:r>
      <w:r>
        <w:t xml:space="preserve"> provides international trade related technical assistance, training, private consultation, database and marketing research, and trade show assistance to Vermont businesses to help them expand their international sales opportunities. </w:t>
      </w:r>
    </w:p>
    <w:p w:rsidR="00886C49" w:rsidRDefault="00886C49" w:rsidP="00886C49"/>
    <w:p w:rsidR="00886C49" w:rsidRDefault="00886C49" w:rsidP="00886C49">
      <w:r>
        <w:t>VGTP is a valued partner to Vermont’s businesses, providing answers, training and resources in regards to NAFTA, Import and Customs regulations, International Traffic in Arms Regulations (ITAR), the Export Administration Regulations, international banking, international commercial terms (INCOTERMS), and international education. The Director of International Trade works with multiple partners such as U.S. Customs, U.S. Border Patrol, U.S. Dept of Commerce, the Small Business Administration, Export-Import Bank, Vermont Economic Development Authority, Vermont Small Business Development Center, the Vermont Chamber of Commerce, the Lake Champlain Chamber of Commerce, the Vermont Training Program, the Procurement Technical Assistance Center and others in serving Vermont’s international trade needs. Performance measures for the International Trade program include:</w:t>
      </w:r>
    </w:p>
    <w:p w:rsidR="00886C49" w:rsidRPr="00F52846" w:rsidRDefault="00886C49" w:rsidP="00886C49">
      <w:pPr>
        <w:rPr>
          <w:color w:val="1F497D"/>
        </w:rPr>
      </w:pPr>
    </w:p>
    <w:p w:rsidR="00886C49" w:rsidRDefault="00886C49" w:rsidP="00886C49">
      <w:pPr>
        <w:pStyle w:val="ListParagraph"/>
        <w:numPr>
          <w:ilvl w:val="0"/>
          <w:numId w:val="8"/>
        </w:numPr>
        <w:rPr>
          <w:rStyle w:val="textmedium1"/>
          <w:rFonts w:ascii="Times New Roman" w:hAnsi="Times New Roman"/>
        </w:rPr>
      </w:pPr>
      <w:r>
        <w:rPr>
          <w:rStyle w:val="textmedium1"/>
          <w:rFonts w:ascii="Times New Roman" w:hAnsi="Times New Roman"/>
        </w:rPr>
        <w:t xml:space="preserve">Since July, 2011: </w:t>
      </w:r>
    </w:p>
    <w:p w:rsidR="00886C49" w:rsidRDefault="00886C49" w:rsidP="00886C49">
      <w:pPr>
        <w:pStyle w:val="ListParagraph"/>
        <w:numPr>
          <w:ilvl w:val="1"/>
          <w:numId w:val="8"/>
        </w:numPr>
        <w:rPr>
          <w:rStyle w:val="textmedium1"/>
          <w:rFonts w:ascii="Times New Roman" w:hAnsi="Times New Roman"/>
        </w:rPr>
      </w:pPr>
      <w:r>
        <w:rPr>
          <w:rStyle w:val="textmedium1"/>
          <w:rFonts w:ascii="Times New Roman" w:hAnsi="Times New Roman"/>
        </w:rPr>
        <w:t>Provided 9</w:t>
      </w:r>
      <w:r w:rsidRPr="00D5446F">
        <w:rPr>
          <w:rStyle w:val="textmedium1"/>
          <w:rFonts w:ascii="Times New Roman" w:hAnsi="Times New Roman"/>
        </w:rPr>
        <w:t xml:space="preserve"> international trade training seminars</w:t>
      </w:r>
      <w:r>
        <w:rPr>
          <w:rStyle w:val="textmedium1"/>
          <w:rFonts w:ascii="Times New Roman" w:hAnsi="Times New Roman"/>
        </w:rPr>
        <w:t xml:space="preserve"> for 23 Vermont companies;</w:t>
      </w:r>
    </w:p>
    <w:p w:rsidR="00886C49" w:rsidRDefault="004B7ECC" w:rsidP="00886C49">
      <w:pPr>
        <w:pStyle w:val="ListParagraph"/>
        <w:numPr>
          <w:ilvl w:val="1"/>
          <w:numId w:val="8"/>
        </w:numPr>
        <w:rPr>
          <w:rStyle w:val="textmedium1"/>
          <w:rFonts w:ascii="Times New Roman" w:hAnsi="Times New Roman"/>
        </w:rPr>
      </w:pPr>
      <w:r>
        <w:rPr>
          <w:rStyle w:val="textmedium1"/>
          <w:rFonts w:ascii="Times New Roman" w:hAnsi="Times New Roman"/>
        </w:rPr>
        <w:t xml:space="preserve">Trained </w:t>
      </w:r>
      <w:r w:rsidR="00886C49">
        <w:rPr>
          <w:rStyle w:val="textmedium1"/>
          <w:rFonts w:ascii="Times New Roman" w:hAnsi="Times New Roman"/>
        </w:rPr>
        <w:t>72 attendees</w:t>
      </w:r>
      <w:r>
        <w:rPr>
          <w:rStyle w:val="textmedium1"/>
          <w:rFonts w:ascii="Times New Roman" w:hAnsi="Times New Roman"/>
        </w:rPr>
        <w:t xml:space="preserve">, representing 23 </w:t>
      </w:r>
      <w:r w:rsidR="00886C49">
        <w:rPr>
          <w:rStyle w:val="textmedium1"/>
          <w:rFonts w:ascii="Times New Roman" w:hAnsi="Times New Roman"/>
        </w:rPr>
        <w:t>companies;</w:t>
      </w:r>
    </w:p>
    <w:p w:rsidR="00886C49" w:rsidRPr="00DE3BAF" w:rsidRDefault="00886C49" w:rsidP="00886C49">
      <w:pPr>
        <w:pStyle w:val="ListParagraph"/>
        <w:numPr>
          <w:ilvl w:val="1"/>
          <w:numId w:val="8"/>
        </w:numPr>
        <w:rPr>
          <w:rStyle w:val="textmedium1"/>
          <w:rFonts w:ascii="Times New Roman" w:hAnsi="Times New Roman"/>
        </w:rPr>
      </w:pPr>
      <w:r>
        <w:rPr>
          <w:rStyle w:val="textmedium1"/>
          <w:rFonts w:ascii="Times New Roman" w:hAnsi="Times New Roman"/>
        </w:rPr>
        <w:t>Conducted 1 Export Audit;</w:t>
      </w:r>
    </w:p>
    <w:p w:rsidR="00886C49" w:rsidRDefault="00886C49" w:rsidP="00886C49">
      <w:pPr>
        <w:pStyle w:val="NormalWeb"/>
        <w:numPr>
          <w:ilvl w:val="1"/>
          <w:numId w:val="8"/>
        </w:numPr>
        <w:spacing w:before="0" w:beforeAutospacing="0" w:after="0" w:afterAutospacing="0"/>
        <w:rPr>
          <w:rStyle w:val="textmedium1"/>
          <w:rFonts w:ascii="Times New Roman" w:hAnsi="Times New Roman"/>
          <w:sz w:val="24"/>
          <w:szCs w:val="24"/>
        </w:rPr>
      </w:pPr>
      <w:r>
        <w:rPr>
          <w:rStyle w:val="textmedium1"/>
          <w:rFonts w:ascii="Times New Roman" w:hAnsi="Times New Roman"/>
          <w:sz w:val="24"/>
          <w:szCs w:val="24"/>
        </w:rPr>
        <w:t>Responded to over 100</w:t>
      </w:r>
      <w:r w:rsidRPr="00DE3BAF">
        <w:rPr>
          <w:rStyle w:val="textmedium1"/>
          <w:rFonts w:ascii="Times New Roman" w:hAnsi="Times New Roman"/>
          <w:sz w:val="24"/>
          <w:szCs w:val="24"/>
        </w:rPr>
        <w:t xml:space="preserve"> Vermont companies</w:t>
      </w:r>
      <w:r>
        <w:rPr>
          <w:rStyle w:val="textmedium1"/>
          <w:rFonts w:ascii="Times New Roman" w:hAnsi="Times New Roman"/>
          <w:sz w:val="24"/>
          <w:szCs w:val="24"/>
        </w:rPr>
        <w:t>’ technical assistance inquirie</w:t>
      </w:r>
      <w:r w:rsidRPr="00DE3BAF">
        <w:rPr>
          <w:rStyle w:val="textmedium1"/>
          <w:rFonts w:ascii="Times New Roman" w:hAnsi="Times New Roman"/>
          <w:sz w:val="24"/>
          <w:szCs w:val="24"/>
        </w:rPr>
        <w:t>s including NAFTA, ITAR, EAR, INCOTERMS, International Banking and US Customs issues</w:t>
      </w:r>
      <w:r>
        <w:rPr>
          <w:rStyle w:val="textmedium1"/>
          <w:rFonts w:ascii="Times New Roman" w:hAnsi="Times New Roman"/>
          <w:sz w:val="24"/>
          <w:szCs w:val="24"/>
        </w:rPr>
        <w:t>.</w:t>
      </w:r>
    </w:p>
    <w:p w:rsidR="00886C49" w:rsidRPr="00F52846" w:rsidRDefault="00886C49" w:rsidP="00886C49">
      <w:pPr>
        <w:pStyle w:val="NormalWeb"/>
        <w:spacing w:before="0" w:beforeAutospacing="0" w:after="0" w:afterAutospacing="0"/>
        <w:ind w:left="1080"/>
        <w:rPr>
          <w:rStyle w:val="textmedium1"/>
          <w:rFonts w:ascii="Times New Roman" w:hAnsi="Times New Roman"/>
          <w:sz w:val="24"/>
          <w:szCs w:val="24"/>
        </w:rPr>
      </w:pPr>
    </w:p>
    <w:p w:rsidR="00886C49" w:rsidRDefault="00886C49" w:rsidP="00886C49">
      <w:pPr>
        <w:pStyle w:val="NormalWeb"/>
        <w:numPr>
          <w:ilvl w:val="0"/>
          <w:numId w:val="8"/>
        </w:numPr>
        <w:spacing w:before="0" w:beforeAutospacing="0" w:after="0" w:afterAutospacing="0"/>
        <w:rPr>
          <w:rStyle w:val="textmedium1"/>
          <w:rFonts w:ascii="Times New Roman" w:hAnsi="Times New Roman"/>
          <w:sz w:val="24"/>
          <w:szCs w:val="24"/>
        </w:rPr>
      </w:pPr>
      <w:r w:rsidRPr="00D53901">
        <w:rPr>
          <w:rStyle w:val="textmedium1"/>
          <w:rFonts w:ascii="Times New Roman" w:hAnsi="Times New Roman"/>
          <w:sz w:val="24"/>
          <w:szCs w:val="24"/>
        </w:rPr>
        <w:t>Assisted 26+ Vermont educational institutions with EDUCATIONVTUSA international website</w:t>
      </w:r>
      <w:r>
        <w:rPr>
          <w:rStyle w:val="textmedium1"/>
          <w:rFonts w:ascii="Times New Roman" w:hAnsi="Times New Roman"/>
          <w:sz w:val="24"/>
          <w:szCs w:val="24"/>
        </w:rPr>
        <w:t xml:space="preserve"> launch.</w:t>
      </w:r>
    </w:p>
    <w:p w:rsidR="00886C49" w:rsidRPr="00D53901" w:rsidRDefault="00886C49" w:rsidP="00886C49">
      <w:pPr>
        <w:pStyle w:val="NormalWeb"/>
        <w:spacing w:before="0" w:beforeAutospacing="0" w:after="0" w:afterAutospacing="0"/>
        <w:ind w:left="360"/>
        <w:rPr>
          <w:rStyle w:val="textmedium1"/>
          <w:rFonts w:ascii="Times New Roman" w:hAnsi="Times New Roman"/>
          <w:sz w:val="24"/>
          <w:szCs w:val="24"/>
        </w:rPr>
      </w:pPr>
    </w:p>
    <w:p w:rsidR="00886C49" w:rsidRDefault="00886C49" w:rsidP="00886C49">
      <w:pPr>
        <w:pStyle w:val="NormalWeb"/>
        <w:numPr>
          <w:ilvl w:val="0"/>
          <w:numId w:val="8"/>
        </w:numPr>
        <w:spacing w:before="0" w:beforeAutospacing="0" w:after="0" w:afterAutospacing="0"/>
        <w:rPr>
          <w:rFonts w:ascii="Times New Roman" w:hAnsi="Times New Roman"/>
          <w:sz w:val="24"/>
          <w:szCs w:val="24"/>
        </w:rPr>
      </w:pPr>
      <w:r w:rsidRPr="00495287">
        <w:rPr>
          <w:rFonts w:ascii="Times New Roman" w:hAnsi="Times New Roman"/>
          <w:b/>
          <w:sz w:val="24"/>
          <w:szCs w:val="24"/>
        </w:rPr>
        <w:t>MEDICA 2011</w:t>
      </w:r>
      <w:r w:rsidRPr="00D53901">
        <w:rPr>
          <w:rFonts w:ascii="Times New Roman" w:hAnsi="Times New Roman"/>
          <w:sz w:val="24"/>
          <w:szCs w:val="24"/>
        </w:rPr>
        <w:t xml:space="preserve"> (held November 16-19, 2011) “Best of New England” trade show results:</w:t>
      </w:r>
    </w:p>
    <w:p w:rsidR="00886C49" w:rsidRDefault="00886C49" w:rsidP="00886C49">
      <w:pPr>
        <w:pStyle w:val="NormalWeb"/>
        <w:numPr>
          <w:ilvl w:val="1"/>
          <w:numId w:val="8"/>
        </w:numPr>
        <w:spacing w:before="0" w:beforeAutospacing="0" w:after="0" w:afterAutospacing="0"/>
        <w:rPr>
          <w:rFonts w:ascii="Times New Roman" w:hAnsi="Times New Roman"/>
          <w:sz w:val="24"/>
          <w:szCs w:val="24"/>
        </w:rPr>
      </w:pPr>
      <w:r>
        <w:rPr>
          <w:rFonts w:ascii="Times New Roman" w:hAnsi="Times New Roman"/>
          <w:sz w:val="24"/>
          <w:szCs w:val="24"/>
        </w:rPr>
        <w:t>3 VT Business attendees;</w:t>
      </w:r>
    </w:p>
    <w:p w:rsidR="00886C49" w:rsidRDefault="00886C49" w:rsidP="00886C49">
      <w:pPr>
        <w:pStyle w:val="NormalWeb"/>
        <w:numPr>
          <w:ilvl w:val="1"/>
          <w:numId w:val="8"/>
        </w:numPr>
        <w:spacing w:before="0" w:beforeAutospacing="0" w:after="0" w:afterAutospacing="0"/>
        <w:rPr>
          <w:rFonts w:ascii="Times New Roman" w:hAnsi="Times New Roman"/>
          <w:sz w:val="24"/>
          <w:szCs w:val="24"/>
        </w:rPr>
      </w:pPr>
      <w:r>
        <w:rPr>
          <w:rFonts w:ascii="Times New Roman" w:hAnsi="Times New Roman"/>
          <w:sz w:val="24"/>
          <w:szCs w:val="24"/>
        </w:rPr>
        <w:t>87 combined prospects met;</w:t>
      </w:r>
    </w:p>
    <w:p w:rsidR="00886C49" w:rsidRDefault="00886C49" w:rsidP="00886C49">
      <w:pPr>
        <w:pStyle w:val="NormalWeb"/>
        <w:numPr>
          <w:ilvl w:val="1"/>
          <w:numId w:val="8"/>
        </w:numPr>
        <w:spacing w:before="0" w:beforeAutospacing="0" w:after="0" w:afterAutospacing="0"/>
        <w:rPr>
          <w:rFonts w:ascii="Times New Roman" w:hAnsi="Times New Roman"/>
          <w:sz w:val="24"/>
          <w:szCs w:val="24"/>
        </w:rPr>
      </w:pPr>
      <w:r>
        <w:rPr>
          <w:rFonts w:ascii="Times New Roman" w:hAnsi="Times New Roman"/>
          <w:sz w:val="24"/>
          <w:szCs w:val="24"/>
        </w:rPr>
        <w:t>2 international sales orders and 6 bids already confirmed by one of the companies;</w:t>
      </w:r>
    </w:p>
    <w:p w:rsidR="00886C49" w:rsidRDefault="00886C49" w:rsidP="00886C49">
      <w:pPr>
        <w:pStyle w:val="NormalWeb"/>
        <w:numPr>
          <w:ilvl w:val="1"/>
          <w:numId w:val="8"/>
        </w:numPr>
        <w:spacing w:before="0" w:beforeAutospacing="0" w:after="0" w:afterAutospacing="0"/>
        <w:rPr>
          <w:rFonts w:ascii="Times New Roman" w:hAnsi="Times New Roman"/>
          <w:sz w:val="24"/>
          <w:szCs w:val="24"/>
        </w:rPr>
      </w:pPr>
      <w:r>
        <w:rPr>
          <w:rFonts w:ascii="Times New Roman" w:hAnsi="Times New Roman"/>
          <w:sz w:val="24"/>
          <w:szCs w:val="24"/>
        </w:rPr>
        <w:t>An estimated $1.3 million in 12 month export sales projected by 2 companies who reported back post show.</w:t>
      </w:r>
    </w:p>
    <w:p w:rsidR="00886C49" w:rsidRDefault="00886C49" w:rsidP="00886C49">
      <w:pPr>
        <w:pStyle w:val="NormalWeb"/>
        <w:spacing w:before="0" w:beforeAutospacing="0" w:after="0" w:afterAutospacing="0"/>
        <w:ind w:left="1080"/>
        <w:rPr>
          <w:rFonts w:ascii="Times New Roman" w:hAnsi="Times New Roman"/>
          <w:sz w:val="24"/>
          <w:szCs w:val="24"/>
        </w:rPr>
      </w:pPr>
    </w:p>
    <w:p w:rsidR="00886C49" w:rsidRDefault="00886C49" w:rsidP="00886C49">
      <w:pPr>
        <w:pStyle w:val="NormalWeb"/>
        <w:numPr>
          <w:ilvl w:val="0"/>
          <w:numId w:val="8"/>
        </w:numPr>
        <w:spacing w:before="0" w:beforeAutospacing="0" w:after="0" w:afterAutospacing="0"/>
        <w:rPr>
          <w:rFonts w:ascii="Times New Roman" w:hAnsi="Times New Roman"/>
          <w:sz w:val="24"/>
          <w:szCs w:val="24"/>
        </w:rPr>
      </w:pPr>
      <w:r>
        <w:rPr>
          <w:rFonts w:ascii="Times New Roman" w:hAnsi="Times New Roman"/>
          <w:sz w:val="24"/>
          <w:szCs w:val="24"/>
        </w:rPr>
        <w:t xml:space="preserve">Working with Vermont Agency of Agriculture to recruit up to 10 Vermont Specialty food companies to attend </w:t>
      </w:r>
      <w:r w:rsidRPr="00495287">
        <w:rPr>
          <w:rFonts w:ascii="Times New Roman" w:hAnsi="Times New Roman"/>
          <w:b/>
          <w:sz w:val="24"/>
          <w:szCs w:val="24"/>
        </w:rPr>
        <w:t>SIAL Canada</w:t>
      </w:r>
      <w:r>
        <w:rPr>
          <w:rFonts w:ascii="Times New Roman" w:hAnsi="Times New Roman"/>
          <w:sz w:val="24"/>
          <w:szCs w:val="24"/>
        </w:rPr>
        <w:t xml:space="preserve"> taking place in Montreal in May, 2012. SIAL Canada is a tradeshow that connects international buyers and distributors with specialty food companies.</w:t>
      </w:r>
    </w:p>
    <w:p w:rsidR="00886C49" w:rsidRDefault="00886C49" w:rsidP="00886C49">
      <w:pPr>
        <w:pStyle w:val="NormalWeb"/>
        <w:spacing w:before="0" w:beforeAutospacing="0" w:after="0" w:afterAutospacing="0"/>
        <w:ind w:left="360"/>
        <w:rPr>
          <w:rFonts w:ascii="Times New Roman" w:hAnsi="Times New Roman"/>
          <w:sz w:val="24"/>
          <w:szCs w:val="24"/>
        </w:rPr>
      </w:pPr>
    </w:p>
    <w:p w:rsidR="00886C49" w:rsidRDefault="00886C49" w:rsidP="00886C49">
      <w:pPr>
        <w:pStyle w:val="NormalWeb"/>
        <w:numPr>
          <w:ilvl w:val="0"/>
          <w:numId w:val="8"/>
        </w:numPr>
        <w:spacing w:before="0" w:beforeAutospacing="0" w:after="0" w:afterAutospacing="0"/>
        <w:rPr>
          <w:rFonts w:ascii="Times New Roman" w:hAnsi="Times New Roman"/>
          <w:sz w:val="24"/>
          <w:szCs w:val="24"/>
        </w:rPr>
      </w:pPr>
      <w:r>
        <w:rPr>
          <w:rFonts w:ascii="Times New Roman" w:hAnsi="Times New Roman"/>
          <w:sz w:val="24"/>
          <w:szCs w:val="24"/>
        </w:rPr>
        <w:t>Recruiting, marketing, planning and performing oth</w:t>
      </w:r>
      <w:r w:rsidR="007E7677">
        <w:rPr>
          <w:rFonts w:ascii="Times New Roman" w:hAnsi="Times New Roman"/>
          <w:sz w:val="24"/>
          <w:szCs w:val="24"/>
        </w:rPr>
        <w:t>er logistics to deliver up to 5</w:t>
      </w:r>
      <w:r>
        <w:rPr>
          <w:rFonts w:ascii="Times New Roman" w:hAnsi="Times New Roman"/>
          <w:sz w:val="24"/>
          <w:szCs w:val="24"/>
        </w:rPr>
        <w:t xml:space="preserve"> Vermont aerospace companies to atte</w:t>
      </w:r>
      <w:r w:rsidR="007E7677">
        <w:rPr>
          <w:rFonts w:ascii="Times New Roman" w:hAnsi="Times New Roman"/>
          <w:sz w:val="24"/>
          <w:szCs w:val="24"/>
        </w:rPr>
        <w:t>nd the July</w:t>
      </w:r>
      <w:r>
        <w:rPr>
          <w:rFonts w:ascii="Times New Roman" w:hAnsi="Times New Roman"/>
          <w:sz w:val="24"/>
          <w:szCs w:val="24"/>
        </w:rPr>
        <w:t xml:space="preserve">, 2012 U.K. </w:t>
      </w:r>
      <w:r w:rsidRPr="00495287">
        <w:rPr>
          <w:rFonts w:ascii="Times New Roman" w:hAnsi="Times New Roman"/>
          <w:b/>
          <w:sz w:val="24"/>
          <w:szCs w:val="24"/>
        </w:rPr>
        <w:t>Farnborough Air Show</w:t>
      </w:r>
      <w:r>
        <w:rPr>
          <w:rFonts w:ascii="Times New Roman" w:hAnsi="Times New Roman"/>
          <w:sz w:val="24"/>
          <w:szCs w:val="24"/>
        </w:rPr>
        <w:t>.</w:t>
      </w:r>
    </w:p>
    <w:p w:rsidR="00441952" w:rsidRDefault="00441952" w:rsidP="00441952">
      <w:pPr>
        <w:pStyle w:val="ListParagraph"/>
      </w:pPr>
    </w:p>
    <w:p w:rsidR="00441952" w:rsidRDefault="00441952" w:rsidP="00441952">
      <w:pPr>
        <w:pStyle w:val="NormalWeb"/>
        <w:spacing w:before="0" w:beforeAutospacing="0" w:after="0" w:afterAutospacing="0"/>
        <w:rPr>
          <w:rFonts w:ascii="Times New Roman" w:hAnsi="Times New Roman"/>
          <w:sz w:val="24"/>
          <w:szCs w:val="24"/>
        </w:rPr>
      </w:pPr>
      <w:r>
        <w:rPr>
          <w:rFonts w:ascii="Times New Roman" w:hAnsi="Times New Roman"/>
          <w:sz w:val="24"/>
          <w:szCs w:val="24"/>
        </w:rPr>
        <w:t xml:space="preserve">The remainder of </w:t>
      </w:r>
      <w:r w:rsidRPr="00134B68">
        <w:rPr>
          <w:rFonts w:ascii="Times New Roman" w:hAnsi="Times New Roman"/>
          <w:b/>
          <w:sz w:val="24"/>
          <w:szCs w:val="24"/>
        </w:rPr>
        <w:t xml:space="preserve">Fiscal Year 2012 </w:t>
      </w:r>
      <w:r>
        <w:rPr>
          <w:rFonts w:ascii="Times New Roman" w:hAnsi="Times New Roman"/>
          <w:sz w:val="24"/>
          <w:szCs w:val="24"/>
        </w:rPr>
        <w:t>will include:</w:t>
      </w:r>
    </w:p>
    <w:p w:rsidR="00441952" w:rsidRDefault="00441952" w:rsidP="00441952">
      <w:pPr>
        <w:pStyle w:val="NormalWeb"/>
        <w:spacing w:before="0" w:beforeAutospacing="0" w:after="0" w:afterAutospacing="0"/>
        <w:rPr>
          <w:rFonts w:ascii="Times New Roman" w:hAnsi="Times New Roman"/>
          <w:sz w:val="24"/>
          <w:szCs w:val="24"/>
        </w:rPr>
      </w:pPr>
    </w:p>
    <w:p w:rsidR="00441952" w:rsidRDefault="00441952" w:rsidP="00441952">
      <w:pPr>
        <w:pStyle w:val="NormalWeb"/>
        <w:spacing w:before="0" w:beforeAutospacing="0" w:after="0" w:afterAutospacing="0"/>
        <w:rPr>
          <w:rFonts w:ascii="Times New Roman" w:hAnsi="Times New Roman"/>
          <w:sz w:val="24"/>
          <w:szCs w:val="24"/>
        </w:rPr>
      </w:pPr>
      <w:r w:rsidRPr="00441952">
        <w:rPr>
          <w:rFonts w:ascii="Times New Roman" w:hAnsi="Times New Roman"/>
          <w:b/>
          <w:sz w:val="24"/>
          <w:szCs w:val="24"/>
          <w:u w:val="single"/>
        </w:rPr>
        <w:t>Scheduled Trainings</w:t>
      </w:r>
      <w:r>
        <w:rPr>
          <w:rFonts w:ascii="Times New Roman" w:hAnsi="Times New Roman"/>
          <w:sz w:val="24"/>
          <w:szCs w:val="24"/>
        </w:rPr>
        <w:t>:</w:t>
      </w:r>
    </w:p>
    <w:p w:rsidR="00441952" w:rsidRDefault="00441952" w:rsidP="00441952">
      <w:pPr>
        <w:pStyle w:val="ListParagraph"/>
        <w:numPr>
          <w:ilvl w:val="0"/>
          <w:numId w:val="26"/>
        </w:numPr>
      </w:pPr>
      <w:r>
        <w:t>March 27</w:t>
      </w:r>
      <w:r w:rsidRPr="00441952">
        <w:rPr>
          <w:vertAlign w:val="superscript"/>
        </w:rPr>
        <w:t>th</w:t>
      </w:r>
      <w:r>
        <w:t xml:space="preserve"> – Exporting Fundamentals, Rutland, VT (in conjunction</w:t>
      </w:r>
      <w:r w:rsidR="00134B68">
        <w:t xml:space="preserve"> with VtSBDC)</w:t>
      </w:r>
    </w:p>
    <w:p w:rsidR="00441952" w:rsidRDefault="00441952" w:rsidP="00441952">
      <w:pPr>
        <w:pStyle w:val="ListParagraph"/>
        <w:numPr>
          <w:ilvl w:val="0"/>
          <w:numId w:val="26"/>
        </w:numPr>
      </w:pPr>
      <w:r>
        <w:t>March 28</w:t>
      </w:r>
      <w:r w:rsidRPr="00441952">
        <w:rPr>
          <w:vertAlign w:val="superscript"/>
        </w:rPr>
        <w:t>th</w:t>
      </w:r>
      <w:r>
        <w:t xml:space="preserve"> – NAFTA and all US Free trade Agreements </w:t>
      </w:r>
    </w:p>
    <w:p w:rsidR="00441952" w:rsidRDefault="00441952" w:rsidP="00441952">
      <w:pPr>
        <w:pStyle w:val="ListParagraph"/>
        <w:numPr>
          <w:ilvl w:val="0"/>
          <w:numId w:val="26"/>
        </w:numPr>
      </w:pPr>
      <w:r>
        <w:t xml:space="preserve">May – </w:t>
      </w:r>
      <w:r w:rsidRPr="00441952">
        <w:rPr>
          <w:i/>
          <w:u w:val="single"/>
        </w:rPr>
        <w:t xml:space="preserve">webinar </w:t>
      </w:r>
      <w:r>
        <w:t xml:space="preserve">– How to determine your products Country of Origin </w:t>
      </w:r>
    </w:p>
    <w:p w:rsidR="00441952" w:rsidRDefault="00441952" w:rsidP="00441952">
      <w:pPr>
        <w:pStyle w:val="ListParagraph"/>
        <w:numPr>
          <w:ilvl w:val="0"/>
          <w:numId w:val="26"/>
        </w:numPr>
      </w:pPr>
      <w:r>
        <w:t>June – Export controls (licensing)</w:t>
      </w:r>
      <w:r w:rsidR="007E7677">
        <w:t xml:space="preserve"> </w:t>
      </w:r>
      <w:r>
        <w:t>- This is likely to be all new by then</w:t>
      </w:r>
      <w:r w:rsidR="00C12942">
        <w:t>.</w:t>
      </w:r>
    </w:p>
    <w:p w:rsidR="00441952" w:rsidRDefault="00441952" w:rsidP="00441952">
      <w:pPr>
        <w:pStyle w:val="NormalWeb"/>
        <w:spacing w:before="0" w:beforeAutospacing="0" w:after="0" w:afterAutospacing="0"/>
        <w:rPr>
          <w:rFonts w:ascii="Times New Roman" w:hAnsi="Times New Roman"/>
          <w:sz w:val="24"/>
          <w:szCs w:val="24"/>
        </w:rPr>
      </w:pPr>
    </w:p>
    <w:p w:rsidR="00134B68" w:rsidRDefault="00134B68" w:rsidP="00441952">
      <w:pPr>
        <w:pStyle w:val="NormalWeb"/>
        <w:spacing w:before="0" w:beforeAutospacing="0" w:after="0" w:afterAutospacing="0"/>
        <w:rPr>
          <w:rFonts w:ascii="Times New Roman" w:hAnsi="Times New Roman"/>
          <w:sz w:val="24"/>
          <w:szCs w:val="24"/>
        </w:rPr>
      </w:pPr>
      <w:r w:rsidRPr="00134B68">
        <w:rPr>
          <w:rFonts w:ascii="Times New Roman" w:hAnsi="Times New Roman"/>
          <w:b/>
          <w:sz w:val="24"/>
          <w:szCs w:val="24"/>
          <w:u w:val="single"/>
        </w:rPr>
        <w:t>Company Export Audits (estimated)</w:t>
      </w:r>
      <w:r>
        <w:rPr>
          <w:rFonts w:ascii="Times New Roman" w:hAnsi="Times New Roman"/>
          <w:sz w:val="24"/>
          <w:szCs w:val="24"/>
        </w:rPr>
        <w:t>: One.</w:t>
      </w:r>
    </w:p>
    <w:p w:rsidR="00134B68" w:rsidRDefault="00134B68" w:rsidP="00441952">
      <w:pPr>
        <w:pStyle w:val="NormalWeb"/>
        <w:spacing w:before="0" w:beforeAutospacing="0" w:after="0" w:afterAutospacing="0"/>
        <w:rPr>
          <w:rFonts w:ascii="Times New Roman" w:hAnsi="Times New Roman"/>
          <w:sz w:val="24"/>
          <w:szCs w:val="24"/>
        </w:rPr>
      </w:pPr>
    </w:p>
    <w:p w:rsidR="00134B68" w:rsidRDefault="00134B68" w:rsidP="00441952">
      <w:pPr>
        <w:pStyle w:val="NormalWeb"/>
        <w:spacing w:before="0" w:beforeAutospacing="0" w:after="0" w:afterAutospacing="0"/>
        <w:rPr>
          <w:rFonts w:ascii="Times New Roman" w:hAnsi="Times New Roman"/>
          <w:sz w:val="24"/>
          <w:szCs w:val="24"/>
        </w:rPr>
      </w:pPr>
      <w:r w:rsidRPr="00134B68">
        <w:rPr>
          <w:rFonts w:ascii="Times New Roman" w:hAnsi="Times New Roman"/>
          <w:b/>
          <w:sz w:val="24"/>
          <w:szCs w:val="24"/>
          <w:u w:val="single"/>
        </w:rPr>
        <w:t>Scheduled Trade Shows</w:t>
      </w:r>
      <w:r>
        <w:rPr>
          <w:rFonts w:ascii="Times New Roman" w:hAnsi="Times New Roman"/>
          <w:sz w:val="24"/>
          <w:szCs w:val="24"/>
        </w:rPr>
        <w:t>:</w:t>
      </w:r>
    </w:p>
    <w:p w:rsidR="00134B68" w:rsidRDefault="00134B68" w:rsidP="00134B68">
      <w:pPr>
        <w:pStyle w:val="NormalWeb"/>
        <w:numPr>
          <w:ilvl w:val="0"/>
          <w:numId w:val="27"/>
        </w:numPr>
        <w:spacing w:before="0" w:beforeAutospacing="0" w:after="0" w:afterAutospacing="0"/>
        <w:rPr>
          <w:rFonts w:ascii="Times New Roman" w:hAnsi="Times New Roman"/>
          <w:sz w:val="24"/>
          <w:szCs w:val="24"/>
        </w:rPr>
      </w:pPr>
      <w:r>
        <w:rPr>
          <w:rFonts w:ascii="Times New Roman" w:hAnsi="Times New Roman"/>
          <w:sz w:val="24"/>
          <w:szCs w:val="24"/>
        </w:rPr>
        <w:t xml:space="preserve">May – </w:t>
      </w:r>
      <w:r w:rsidRPr="00134B68">
        <w:rPr>
          <w:rFonts w:ascii="Times New Roman" w:hAnsi="Times New Roman"/>
          <w:b/>
          <w:i/>
          <w:sz w:val="24"/>
          <w:szCs w:val="24"/>
        </w:rPr>
        <w:t>SIAL Montreal</w:t>
      </w:r>
      <w:r w:rsidR="00C12942">
        <w:rPr>
          <w:rFonts w:ascii="Times New Roman" w:hAnsi="Times New Roman"/>
          <w:b/>
          <w:i/>
          <w:sz w:val="24"/>
          <w:szCs w:val="24"/>
        </w:rPr>
        <w:t>:</w:t>
      </w:r>
      <w:r>
        <w:rPr>
          <w:rFonts w:ascii="Times New Roman" w:hAnsi="Times New Roman"/>
          <w:sz w:val="24"/>
          <w:szCs w:val="24"/>
        </w:rPr>
        <w:t xml:space="preserve"> International Food Trade Show (in conjunction with VT Ag Agency and VT Chamber of Commerce)</w:t>
      </w:r>
    </w:p>
    <w:p w:rsidR="00134B68" w:rsidRDefault="00134B68" w:rsidP="00134B68">
      <w:pPr>
        <w:pStyle w:val="NormalWeb"/>
        <w:numPr>
          <w:ilvl w:val="1"/>
          <w:numId w:val="27"/>
        </w:numPr>
        <w:spacing w:before="0" w:beforeAutospacing="0" w:after="0" w:afterAutospacing="0"/>
        <w:rPr>
          <w:rFonts w:ascii="Times New Roman" w:hAnsi="Times New Roman"/>
          <w:sz w:val="24"/>
          <w:szCs w:val="24"/>
        </w:rPr>
      </w:pPr>
      <w:r>
        <w:rPr>
          <w:rFonts w:ascii="Times New Roman" w:hAnsi="Times New Roman"/>
          <w:sz w:val="24"/>
          <w:szCs w:val="24"/>
        </w:rPr>
        <w:t>Estimate 10 business attendees.</w:t>
      </w:r>
    </w:p>
    <w:p w:rsidR="00134B68" w:rsidRDefault="00134B68" w:rsidP="00134B68">
      <w:pPr>
        <w:pStyle w:val="NormalWeb"/>
        <w:numPr>
          <w:ilvl w:val="0"/>
          <w:numId w:val="27"/>
        </w:numPr>
        <w:spacing w:before="0" w:beforeAutospacing="0" w:after="0" w:afterAutospacing="0"/>
        <w:rPr>
          <w:rFonts w:ascii="Times New Roman" w:hAnsi="Times New Roman"/>
          <w:sz w:val="24"/>
          <w:szCs w:val="24"/>
        </w:rPr>
      </w:pPr>
      <w:r>
        <w:rPr>
          <w:rFonts w:ascii="Times New Roman" w:hAnsi="Times New Roman"/>
          <w:sz w:val="24"/>
          <w:szCs w:val="24"/>
        </w:rPr>
        <w:t xml:space="preserve">June – </w:t>
      </w:r>
      <w:r w:rsidRPr="00134B68">
        <w:rPr>
          <w:rFonts w:ascii="Times New Roman" w:hAnsi="Times New Roman"/>
          <w:b/>
          <w:i/>
          <w:sz w:val="24"/>
          <w:szCs w:val="24"/>
        </w:rPr>
        <w:t>Ottawa Tourism Event</w:t>
      </w:r>
      <w:r w:rsidR="00C12942">
        <w:rPr>
          <w:rFonts w:ascii="Times New Roman" w:hAnsi="Times New Roman"/>
          <w:b/>
          <w:i/>
          <w:sz w:val="24"/>
          <w:szCs w:val="24"/>
        </w:rPr>
        <w:t>:</w:t>
      </w:r>
      <w:r>
        <w:rPr>
          <w:rFonts w:ascii="Times New Roman" w:hAnsi="Times New Roman"/>
          <w:sz w:val="24"/>
          <w:szCs w:val="24"/>
        </w:rPr>
        <w:t xml:space="preserve"> (in conjunction with VT Tourism &amp; Marketing and VT Chamber of Commerce)</w:t>
      </w:r>
    </w:p>
    <w:p w:rsidR="00134B68" w:rsidRDefault="00134B68" w:rsidP="00134B68">
      <w:pPr>
        <w:pStyle w:val="NormalWeb"/>
        <w:numPr>
          <w:ilvl w:val="1"/>
          <w:numId w:val="27"/>
        </w:numPr>
        <w:spacing w:before="0" w:beforeAutospacing="0" w:after="0" w:afterAutospacing="0"/>
        <w:rPr>
          <w:rFonts w:ascii="Times New Roman" w:hAnsi="Times New Roman"/>
          <w:sz w:val="24"/>
          <w:szCs w:val="24"/>
        </w:rPr>
      </w:pPr>
      <w:r>
        <w:rPr>
          <w:rFonts w:ascii="Times New Roman" w:hAnsi="Times New Roman"/>
          <w:sz w:val="24"/>
          <w:szCs w:val="24"/>
        </w:rPr>
        <w:t>Estimate 40 Ottawa tour and related tourism businesses to attend VT reception, and 8 VT businesses and/or associations to attend.</w:t>
      </w:r>
    </w:p>
    <w:p w:rsidR="00134B68" w:rsidRDefault="00134B68" w:rsidP="00134B68">
      <w:pPr>
        <w:pStyle w:val="NormalWeb"/>
        <w:spacing w:before="0" w:beforeAutospacing="0" w:after="0" w:afterAutospacing="0"/>
        <w:rPr>
          <w:rFonts w:ascii="Times New Roman" w:hAnsi="Times New Roman"/>
          <w:sz w:val="24"/>
          <w:szCs w:val="24"/>
        </w:rPr>
      </w:pPr>
    </w:p>
    <w:p w:rsidR="00134B68" w:rsidRDefault="00134B68" w:rsidP="00134B68">
      <w:pPr>
        <w:pStyle w:val="NormalWeb"/>
        <w:spacing w:before="0" w:beforeAutospacing="0" w:after="0" w:afterAutospacing="0"/>
        <w:rPr>
          <w:rFonts w:ascii="Times New Roman" w:hAnsi="Times New Roman"/>
          <w:sz w:val="24"/>
          <w:szCs w:val="24"/>
        </w:rPr>
      </w:pPr>
      <w:r w:rsidRPr="00134B68">
        <w:rPr>
          <w:rFonts w:ascii="Times New Roman" w:hAnsi="Times New Roman"/>
          <w:b/>
          <w:sz w:val="24"/>
          <w:szCs w:val="24"/>
          <w:u w:val="single"/>
        </w:rPr>
        <w:t>Vermont Company Export Technical Assistance Inquiries (estimated)</w:t>
      </w:r>
      <w:r w:rsidRPr="00134B68">
        <w:rPr>
          <w:rFonts w:ascii="Times New Roman" w:hAnsi="Times New Roman"/>
          <w:sz w:val="24"/>
          <w:szCs w:val="24"/>
        </w:rPr>
        <w:t>:</w:t>
      </w:r>
      <w:r>
        <w:rPr>
          <w:rFonts w:ascii="Times New Roman" w:hAnsi="Times New Roman"/>
          <w:sz w:val="24"/>
          <w:szCs w:val="24"/>
        </w:rPr>
        <w:t xml:space="preserve"> 130</w:t>
      </w:r>
    </w:p>
    <w:p w:rsidR="007E7677" w:rsidRDefault="007E7677" w:rsidP="00134B68">
      <w:pPr>
        <w:pStyle w:val="NormalWeb"/>
        <w:spacing w:before="0" w:beforeAutospacing="0" w:after="0" w:afterAutospacing="0"/>
        <w:rPr>
          <w:rFonts w:ascii="Times New Roman" w:hAnsi="Times New Roman"/>
          <w:sz w:val="24"/>
          <w:szCs w:val="24"/>
        </w:rPr>
      </w:pPr>
    </w:p>
    <w:p w:rsidR="007E7677" w:rsidRDefault="007E7677" w:rsidP="00134B68">
      <w:pPr>
        <w:pStyle w:val="NormalWeb"/>
        <w:spacing w:before="0" w:beforeAutospacing="0" w:after="0" w:afterAutospacing="0"/>
        <w:rPr>
          <w:rFonts w:ascii="Times New Roman" w:hAnsi="Times New Roman"/>
          <w:sz w:val="24"/>
          <w:szCs w:val="24"/>
        </w:rPr>
      </w:pPr>
      <w:r w:rsidRPr="007E7677">
        <w:rPr>
          <w:rFonts w:ascii="Times New Roman" w:hAnsi="Times New Roman"/>
          <w:b/>
          <w:sz w:val="24"/>
          <w:szCs w:val="24"/>
          <w:u w:val="single"/>
        </w:rPr>
        <w:t>Newsletter and Email Recipient List</w:t>
      </w:r>
      <w:r>
        <w:rPr>
          <w:rFonts w:ascii="Times New Roman" w:hAnsi="Times New Roman"/>
          <w:sz w:val="24"/>
          <w:szCs w:val="24"/>
        </w:rPr>
        <w:t>: Increase recipients by 5%</w:t>
      </w:r>
    </w:p>
    <w:p w:rsidR="00C12942" w:rsidRDefault="00C12942" w:rsidP="00134B68">
      <w:pPr>
        <w:pStyle w:val="NormalWeb"/>
        <w:spacing w:before="0" w:beforeAutospacing="0" w:after="0" w:afterAutospacing="0"/>
        <w:rPr>
          <w:rFonts w:ascii="Times New Roman" w:hAnsi="Times New Roman"/>
          <w:sz w:val="24"/>
          <w:szCs w:val="24"/>
        </w:rPr>
      </w:pPr>
    </w:p>
    <w:p w:rsidR="00C12942" w:rsidRDefault="00C12942" w:rsidP="00134B68">
      <w:pPr>
        <w:pStyle w:val="NormalWeb"/>
        <w:spacing w:before="0" w:beforeAutospacing="0" w:after="0" w:afterAutospacing="0"/>
        <w:rPr>
          <w:rFonts w:ascii="Times New Roman" w:hAnsi="Times New Roman"/>
          <w:sz w:val="24"/>
          <w:szCs w:val="24"/>
        </w:rPr>
      </w:pPr>
      <w:r w:rsidRPr="00C12942">
        <w:rPr>
          <w:rFonts w:ascii="Times New Roman" w:hAnsi="Times New Roman"/>
          <w:b/>
          <w:sz w:val="24"/>
          <w:szCs w:val="24"/>
        </w:rPr>
        <w:t>Fiscal Year 2013</w:t>
      </w:r>
      <w:r>
        <w:rPr>
          <w:rFonts w:ascii="Times New Roman" w:hAnsi="Times New Roman"/>
          <w:sz w:val="24"/>
          <w:szCs w:val="24"/>
        </w:rPr>
        <w:t xml:space="preserve"> Activity will include:</w:t>
      </w:r>
    </w:p>
    <w:p w:rsidR="00C12942" w:rsidRDefault="00C12942" w:rsidP="00134B68">
      <w:pPr>
        <w:pStyle w:val="NormalWeb"/>
        <w:spacing w:before="0" w:beforeAutospacing="0" w:after="0" w:afterAutospacing="0"/>
        <w:rPr>
          <w:rFonts w:ascii="Times New Roman" w:hAnsi="Times New Roman"/>
          <w:sz w:val="24"/>
          <w:szCs w:val="24"/>
        </w:rPr>
      </w:pPr>
    </w:p>
    <w:p w:rsidR="00C12942" w:rsidRDefault="00C12942" w:rsidP="00134B68">
      <w:pPr>
        <w:pStyle w:val="NormalWeb"/>
        <w:spacing w:before="0" w:beforeAutospacing="0" w:after="0" w:afterAutospacing="0"/>
        <w:rPr>
          <w:rFonts w:ascii="Times New Roman" w:hAnsi="Times New Roman"/>
          <w:sz w:val="24"/>
          <w:szCs w:val="24"/>
        </w:rPr>
      </w:pPr>
      <w:r w:rsidRPr="00C12942">
        <w:rPr>
          <w:rFonts w:ascii="Times New Roman" w:hAnsi="Times New Roman"/>
          <w:b/>
          <w:sz w:val="24"/>
          <w:szCs w:val="24"/>
          <w:u w:val="single"/>
        </w:rPr>
        <w:t>Scheduled Trainings</w:t>
      </w:r>
      <w:r w:rsidRPr="00C12942">
        <w:rPr>
          <w:rFonts w:ascii="Times New Roman" w:hAnsi="Times New Roman"/>
          <w:sz w:val="24"/>
          <w:szCs w:val="24"/>
        </w:rPr>
        <w:t>:</w:t>
      </w:r>
    </w:p>
    <w:p w:rsidR="00C12942" w:rsidRDefault="00C12942" w:rsidP="00C12942">
      <w:r>
        <w:t xml:space="preserve">August – </w:t>
      </w:r>
      <w:r w:rsidRPr="001D7D7F">
        <w:rPr>
          <w:i/>
          <w:u w:val="single"/>
        </w:rPr>
        <w:t>webinar</w:t>
      </w:r>
      <w:r>
        <w:t xml:space="preserve"> – How to prepare for a customs/BIS audit </w:t>
      </w:r>
    </w:p>
    <w:p w:rsidR="00C12942" w:rsidRDefault="00C12942" w:rsidP="00C12942">
      <w:r>
        <w:t>September – HTS/Schedule B classification</w:t>
      </w:r>
    </w:p>
    <w:p w:rsidR="00C12942" w:rsidRDefault="00C12942" w:rsidP="00C12942">
      <w:r>
        <w:t>November – Exporting Fundamentals, (potentially to be held in Brattleboro or St. Johnsbury in conjunction with VtSBDC)</w:t>
      </w:r>
    </w:p>
    <w:p w:rsidR="00C12942" w:rsidRDefault="00C12942" w:rsidP="00C12942">
      <w:r>
        <w:t>December – ITAR training.</w:t>
      </w:r>
    </w:p>
    <w:p w:rsidR="00C12942" w:rsidRDefault="00C12942" w:rsidP="00C12942"/>
    <w:p w:rsidR="00C12942" w:rsidRDefault="00C12942" w:rsidP="00C12942">
      <w:r w:rsidRPr="00C12942">
        <w:rPr>
          <w:b/>
          <w:u w:val="single"/>
        </w:rPr>
        <w:t>Company Export Audits (estimated)</w:t>
      </w:r>
      <w:r w:rsidRPr="00C12942">
        <w:t xml:space="preserve">: </w:t>
      </w:r>
      <w:r>
        <w:t>Three.</w:t>
      </w:r>
    </w:p>
    <w:p w:rsidR="00C12942" w:rsidRDefault="00C12942" w:rsidP="00C12942"/>
    <w:p w:rsidR="00C12942" w:rsidRDefault="00C12942" w:rsidP="00C12942">
      <w:r w:rsidRPr="00C12942">
        <w:rPr>
          <w:b/>
          <w:u w:val="single"/>
        </w:rPr>
        <w:t>Scheduled Trade Shows</w:t>
      </w:r>
      <w:r>
        <w:t>:</w:t>
      </w:r>
    </w:p>
    <w:p w:rsidR="007E7677" w:rsidRDefault="007E7677" w:rsidP="00C12942"/>
    <w:p w:rsidR="007E7677" w:rsidRDefault="007E7677" w:rsidP="007E7677">
      <w:pPr>
        <w:pStyle w:val="ListParagraph"/>
        <w:numPr>
          <w:ilvl w:val="0"/>
          <w:numId w:val="28"/>
        </w:numPr>
      </w:pPr>
      <w:r>
        <w:t>July 9</w:t>
      </w:r>
      <w:r w:rsidRPr="007E7677">
        <w:rPr>
          <w:vertAlign w:val="superscript"/>
        </w:rPr>
        <w:t>th</w:t>
      </w:r>
      <w:r>
        <w:t xml:space="preserve"> to13</w:t>
      </w:r>
      <w:r w:rsidRPr="007E7677">
        <w:rPr>
          <w:vertAlign w:val="superscript"/>
        </w:rPr>
        <w:t>th</w:t>
      </w:r>
      <w:r>
        <w:t xml:space="preserve"> – Farnborough UK Air Show: Estimate recruiting up to 5 businesses to attend.</w:t>
      </w:r>
    </w:p>
    <w:p w:rsidR="007E7677" w:rsidRDefault="007E7677" w:rsidP="007E7677">
      <w:pPr>
        <w:pStyle w:val="ListParagraph"/>
        <w:numPr>
          <w:ilvl w:val="0"/>
          <w:numId w:val="28"/>
        </w:numPr>
      </w:pPr>
      <w:r>
        <w:t>November, 2012 - MEDICA, Dusseldorf, Germany Medical Trade Show: Estimate up to 5 companies attending.</w:t>
      </w:r>
    </w:p>
    <w:p w:rsidR="007E7677" w:rsidRDefault="007E7677" w:rsidP="007E7677"/>
    <w:p w:rsidR="007E7677" w:rsidRDefault="007E7677" w:rsidP="007E7677">
      <w:pPr>
        <w:pStyle w:val="NormalWeb"/>
        <w:spacing w:before="0" w:beforeAutospacing="0" w:after="0" w:afterAutospacing="0"/>
        <w:rPr>
          <w:rFonts w:ascii="Times New Roman" w:hAnsi="Times New Roman"/>
          <w:sz w:val="24"/>
          <w:szCs w:val="24"/>
        </w:rPr>
      </w:pPr>
      <w:r w:rsidRPr="00134B68">
        <w:rPr>
          <w:rFonts w:ascii="Times New Roman" w:hAnsi="Times New Roman"/>
          <w:b/>
          <w:sz w:val="24"/>
          <w:szCs w:val="24"/>
          <w:u w:val="single"/>
        </w:rPr>
        <w:t>Vermont Company Export Technical Assistance Inquiries (estimated)</w:t>
      </w:r>
      <w:r w:rsidRPr="00134B68">
        <w:rPr>
          <w:rFonts w:ascii="Times New Roman" w:hAnsi="Times New Roman"/>
          <w:sz w:val="24"/>
          <w:szCs w:val="24"/>
        </w:rPr>
        <w:t>:</w:t>
      </w:r>
      <w:r>
        <w:rPr>
          <w:rFonts w:ascii="Times New Roman" w:hAnsi="Times New Roman"/>
          <w:sz w:val="24"/>
          <w:szCs w:val="24"/>
        </w:rPr>
        <w:t xml:space="preserve"> 300</w:t>
      </w:r>
    </w:p>
    <w:p w:rsidR="007E7677" w:rsidRDefault="007E7677" w:rsidP="007E7677">
      <w:pPr>
        <w:pStyle w:val="NormalWeb"/>
        <w:spacing w:before="0" w:beforeAutospacing="0" w:after="0" w:afterAutospacing="0"/>
        <w:rPr>
          <w:rFonts w:ascii="Times New Roman" w:hAnsi="Times New Roman"/>
          <w:sz w:val="24"/>
          <w:szCs w:val="24"/>
        </w:rPr>
      </w:pPr>
    </w:p>
    <w:p w:rsidR="007E7677" w:rsidRDefault="007E7677" w:rsidP="007E7677">
      <w:pPr>
        <w:pStyle w:val="NormalWeb"/>
        <w:spacing w:before="0" w:beforeAutospacing="0" w:after="0" w:afterAutospacing="0"/>
        <w:rPr>
          <w:rFonts w:ascii="Times New Roman" w:hAnsi="Times New Roman"/>
          <w:sz w:val="24"/>
          <w:szCs w:val="24"/>
        </w:rPr>
      </w:pPr>
      <w:r w:rsidRPr="007E7677">
        <w:rPr>
          <w:rFonts w:ascii="Times New Roman" w:hAnsi="Times New Roman"/>
          <w:b/>
          <w:sz w:val="24"/>
          <w:szCs w:val="24"/>
          <w:u w:val="single"/>
        </w:rPr>
        <w:t>Newsletter and Email Recipient List</w:t>
      </w:r>
      <w:r>
        <w:rPr>
          <w:rFonts w:ascii="Times New Roman" w:hAnsi="Times New Roman"/>
          <w:sz w:val="24"/>
          <w:szCs w:val="24"/>
        </w:rPr>
        <w:t>: Increase recipients by 10%</w:t>
      </w:r>
    </w:p>
    <w:p w:rsidR="007E7677" w:rsidRDefault="007E7677" w:rsidP="007E7677">
      <w:pPr>
        <w:pStyle w:val="NormalWeb"/>
        <w:spacing w:before="0" w:beforeAutospacing="0" w:after="0" w:afterAutospacing="0"/>
        <w:rPr>
          <w:rFonts w:ascii="Times New Roman" w:hAnsi="Times New Roman"/>
          <w:sz w:val="24"/>
          <w:szCs w:val="24"/>
        </w:rPr>
      </w:pPr>
    </w:p>
    <w:p w:rsidR="007E7677" w:rsidRDefault="007E7677" w:rsidP="007E7677">
      <w:pPr>
        <w:pStyle w:val="NormalWeb"/>
        <w:spacing w:before="0" w:beforeAutospacing="0" w:after="0" w:afterAutospacing="0"/>
        <w:rPr>
          <w:rFonts w:ascii="Times New Roman" w:hAnsi="Times New Roman"/>
          <w:sz w:val="24"/>
          <w:szCs w:val="24"/>
        </w:rPr>
      </w:pPr>
      <w:r w:rsidRPr="00D77FC9">
        <w:rPr>
          <w:rFonts w:ascii="Times New Roman" w:hAnsi="Times New Roman"/>
          <w:b/>
          <w:sz w:val="24"/>
          <w:szCs w:val="24"/>
          <w:u w:val="single"/>
        </w:rPr>
        <w:t xml:space="preserve">Leahy </w:t>
      </w:r>
      <w:r w:rsidR="00D77FC9" w:rsidRPr="00D77FC9">
        <w:rPr>
          <w:rFonts w:ascii="Times New Roman" w:hAnsi="Times New Roman"/>
          <w:b/>
          <w:sz w:val="24"/>
          <w:szCs w:val="24"/>
          <w:u w:val="single"/>
        </w:rPr>
        <w:t xml:space="preserve">International Trade </w:t>
      </w:r>
      <w:r w:rsidRPr="00D77FC9">
        <w:rPr>
          <w:rFonts w:ascii="Times New Roman" w:hAnsi="Times New Roman"/>
          <w:b/>
          <w:sz w:val="24"/>
          <w:szCs w:val="24"/>
          <w:u w:val="single"/>
        </w:rPr>
        <w:t>Grant</w:t>
      </w:r>
      <w:r w:rsidR="00D77FC9">
        <w:rPr>
          <w:rFonts w:ascii="Times New Roman" w:hAnsi="Times New Roman"/>
          <w:sz w:val="24"/>
          <w:szCs w:val="24"/>
        </w:rPr>
        <w:t xml:space="preserve"> Estimated to be spent down by over 75%.</w:t>
      </w:r>
    </w:p>
    <w:p w:rsidR="007E7677" w:rsidRDefault="00D77FC9" w:rsidP="007E7677">
      <w:pPr>
        <w:pStyle w:val="NormalWeb"/>
        <w:spacing w:before="0" w:beforeAutospacing="0" w:after="0" w:afterAutospacing="0"/>
        <w:rPr>
          <w:rFonts w:ascii="Times New Roman" w:hAnsi="Times New Roman"/>
          <w:sz w:val="24"/>
          <w:szCs w:val="24"/>
        </w:rPr>
      </w:pPr>
      <w:r w:rsidRPr="00D77FC9">
        <w:rPr>
          <w:rFonts w:ascii="Times New Roman" w:hAnsi="Times New Roman"/>
          <w:b/>
          <w:sz w:val="24"/>
          <w:szCs w:val="24"/>
          <w:u w:val="single"/>
        </w:rPr>
        <w:t>Small Business Administration STEP Grant</w:t>
      </w:r>
      <w:r>
        <w:rPr>
          <w:rFonts w:ascii="Times New Roman" w:hAnsi="Times New Roman"/>
          <w:sz w:val="24"/>
          <w:szCs w:val="24"/>
        </w:rPr>
        <w:t>: To be fully expended by October, 2012</w:t>
      </w:r>
    </w:p>
    <w:p w:rsidR="00D77FC9" w:rsidRDefault="00D77FC9" w:rsidP="007E7677">
      <w:pPr>
        <w:pStyle w:val="NormalWeb"/>
        <w:spacing w:before="0" w:beforeAutospacing="0" w:after="0" w:afterAutospacing="0"/>
        <w:rPr>
          <w:rFonts w:ascii="Times New Roman" w:hAnsi="Times New Roman"/>
          <w:sz w:val="24"/>
          <w:szCs w:val="24"/>
        </w:rPr>
      </w:pPr>
    </w:p>
    <w:p w:rsidR="00D77FC9" w:rsidRDefault="00D77FC9" w:rsidP="007E7677">
      <w:pPr>
        <w:pStyle w:val="NormalWeb"/>
        <w:spacing w:before="0" w:beforeAutospacing="0" w:after="0" w:afterAutospacing="0"/>
        <w:rPr>
          <w:rFonts w:ascii="Times New Roman" w:hAnsi="Times New Roman"/>
          <w:sz w:val="24"/>
          <w:szCs w:val="24"/>
        </w:rPr>
      </w:pPr>
      <w:r w:rsidRPr="00D77FC9">
        <w:rPr>
          <w:rFonts w:ascii="Times New Roman" w:hAnsi="Times New Roman"/>
          <w:b/>
          <w:sz w:val="24"/>
          <w:szCs w:val="24"/>
        </w:rPr>
        <w:t>Other</w:t>
      </w:r>
      <w:r>
        <w:rPr>
          <w:rFonts w:ascii="Times New Roman" w:hAnsi="Times New Roman"/>
          <w:sz w:val="24"/>
          <w:szCs w:val="24"/>
        </w:rPr>
        <w:t>:</w:t>
      </w:r>
    </w:p>
    <w:p w:rsidR="00D77FC9" w:rsidRDefault="00D77FC9" w:rsidP="00D77FC9">
      <w:pPr>
        <w:pStyle w:val="NormalWeb"/>
        <w:numPr>
          <w:ilvl w:val="0"/>
          <w:numId w:val="29"/>
        </w:numPr>
        <w:spacing w:before="0" w:beforeAutospacing="0" w:after="0" w:afterAutospacing="0"/>
        <w:rPr>
          <w:rFonts w:ascii="Times New Roman" w:hAnsi="Times New Roman"/>
          <w:sz w:val="24"/>
          <w:szCs w:val="24"/>
        </w:rPr>
      </w:pPr>
      <w:r>
        <w:rPr>
          <w:rFonts w:ascii="Times New Roman" w:hAnsi="Times New Roman"/>
          <w:sz w:val="24"/>
          <w:szCs w:val="24"/>
        </w:rPr>
        <w:t>Update measurables to include they be more quantifiable</w:t>
      </w:r>
    </w:p>
    <w:p w:rsidR="00D77FC9" w:rsidRDefault="00D77FC9" w:rsidP="00D77FC9">
      <w:pPr>
        <w:pStyle w:val="NormalWeb"/>
        <w:numPr>
          <w:ilvl w:val="0"/>
          <w:numId w:val="29"/>
        </w:numPr>
        <w:spacing w:before="0" w:beforeAutospacing="0" w:after="0" w:afterAutospacing="0"/>
        <w:rPr>
          <w:rFonts w:ascii="Times New Roman" w:hAnsi="Times New Roman"/>
          <w:sz w:val="24"/>
          <w:szCs w:val="24"/>
        </w:rPr>
      </w:pPr>
      <w:r>
        <w:rPr>
          <w:rFonts w:ascii="Times New Roman" w:hAnsi="Times New Roman"/>
          <w:sz w:val="24"/>
          <w:szCs w:val="24"/>
        </w:rPr>
        <w:t>Update client questionnaires to be able to more easily quantify measurable</w:t>
      </w:r>
    </w:p>
    <w:p w:rsidR="00D77FC9" w:rsidRDefault="00D77FC9" w:rsidP="00D77FC9">
      <w:pPr>
        <w:pStyle w:val="NormalWeb"/>
        <w:numPr>
          <w:ilvl w:val="0"/>
          <w:numId w:val="29"/>
        </w:numPr>
        <w:pBdr>
          <w:bottom w:val="single" w:sz="12" w:space="1" w:color="auto"/>
        </w:pBdr>
        <w:spacing w:before="0" w:beforeAutospacing="0" w:after="0" w:afterAutospacing="0"/>
        <w:rPr>
          <w:rFonts w:ascii="Times New Roman" w:hAnsi="Times New Roman"/>
          <w:sz w:val="24"/>
          <w:szCs w:val="24"/>
        </w:rPr>
      </w:pPr>
      <w:r>
        <w:rPr>
          <w:rFonts w:ascii="Times New Roman" w:hAnsi="Times New Roman"/>
          <w:sz w:val="24"/>
          <w:szCs w:val="24"/>
        </w:rPr>
        <w:t>Through proactive outreach to Regional Development Corporations and Chambers of Commerce, identify more of the 800 plus businesses conducting expor</w:t>
      </w:r>
      <w:r w:rsidR="00495287">
        <w:rPr>
          <w:rFonts w:ascii="Times New Roman" w:hAnsi="Times New Roman"/>
          <w:sz w:val="24"/>
          <w:szCs w:val="24"/>
        </w:rPr>
        <w:t>t sales in order to identify and provide</w:t>
      </w:r>
      <w:r>
        <w:rPr>
          <w:rFonts w:ascii="Times New Roman" w:hAnsi="Times New Roman"/>
          <w:sz w:val="24"/>
          <w:szCs w:val="24"/>
        </w:rPr>
        <w:t xml:space="preserve"> needed services. </w:t>
      </w:r>
    </w:p>
    <w:p w:rsidR="00495287" w:rsidRDefault="00495287" w:rsidP="00495287">
      <w:pPr>
        <w:pStyle w:val="NormalWeb"/>
        <w:spacing w:before="0" w:beforeAutospacing="0" w:after="0" w:afterAutospacing="0"/>
        <w:rPr>
          <w:rFonts w:ascii="Times New Roman" w:hAnsi="Times New Roman"/>
          <w:sz w:val="24"/>
          <w:szCs w:val="24"/>
        </w:rPr>
      </w:pPr>
    </w:p>
    <w:p w:rsidR="003B1013" w:rsidRDefault="003B1013" w:rsidP="00D77FC9"/>
    <w:p w:rsidR="00886C49" w:rsidRDefault="00886C49" w:rsidP="008C7E48"/>
    <w:p w:rsidR="00C21F63" w:rsidRPr="00D5446F" w:rsidRDefault="00C21F63" w:rsidP="00C21F63">
      <w:r w:rsidRPr="00D5446F">
        <w:rPr>
          <w:b/>
        </w:rPr>
        <w:t>V</w:t>
      </w:r>
      <w:r w:rsidR="00FE3460">
        <w:rPr>
          <w:b/>
        </w:rPr>
        <w:t>ermont</w:t>
      </w:r>
      <w:r w:rsidRPr="00D5446F">
        <w:rPr>
          <w:b/>
        </w:rPr>
        <w:t xml:space="preserve"> Economic Progress Council (VEPC)</w:t>
      </w:r>
      <w:r w:rsidR="00C83F4E">
        <w:rPr>
          <w:b/>
        </w:rPr>
        <w:t xml:space="preserve"> </w:t>
      </w:r>
      <w:r w:rsidRPr="00D5446F">
        <w:t xml:space="preserve">is an independent body that receives administrative support from the </w:t>
      </w:r>
      <w:r w:rsidR="00B11F7E">
        <w:t>Agency</w:t>
      </w:r>
      <w:r w:rsidRPr="00D5446F">
        <w:t xml:space="preserve"> and is governed by an eleven-member board, nine members appointed by the governor and two by the legislature. VEPC administers the application and authorization process for two programs: The Vermont Employment Growth Incentive (VEGI) program (including the Enhanced VEGI for Environmental Technology companies) and the Tax Increment Financing District program. Additionally, VEPC continues to jointly administer, with the Department of Taxes, the reporting, performance review, and recapture functions for the remaining authorizations made under the Economic Advancement Tax Incentive program.</w:t>
      </w:r>
    </w:p>
    <w:p w:rsidR="00C21F63" w:rsidRPr="00D5446F" w:rsidRDefault="00C21F63" w:rsidP="00C21F63">
      <w:pPr>
        <w:ind w:left="-720" w:right="-720" w:firstLine="720"/>
        <w:jc w:val="center"/>
        <w:rPr>
          <w:b/>
        </w:rPr>
      </w:pPr>
    </w:p>
    <w:p w:rsidR="003A0F9A" w:rsidRDefault="003A0F9A" w:rsidP="00C21F63">
      <w:pPr>
        <w:ind w:right="-720"/>
      </w:pPr>
    </w:p>
    <w:p w:rsidR="000F3339" w:rsidRDefault="00230C64" w:rsidP="00C21F63">
      <w:pPr>
        <w:ind w:right="-720"/>
      </w:pPr>
      <w:r>
        <w:t xml:space="preserve">Performance measures </w:t>
      </w:r>
      <w:r w:rsidR="00F45579">
        <w:t>f</w:t>
      </w:r>
      <w:r w:rsidR="00B11F7E">
        <w:t xml:space="preserve">rom </w:t>
      </w:r>
      <w:r w:rsidR="000F3339">
        <w:t xml:space="preserve">the </w:t>
      </w:r>
      <w:r w:rsidR="00B11F7E">
        <w:t>201</w:t>
      </w:r>
      <w:r w:rsidR="000F3339">
        <w:t xml:space="preserve">1 VEGI Annual </w:t>
      </w:r>
      <w:r w:rsidR="00FE3460">
        <w:t>R</w:t>
      </w:r>
      <w:r w:rsidR="000F3339">
        <w:t>eport:</w:t>
      </w:r>
    </w:p>
    <w:tbl>
      <w:tblPr>
        <w:tblpPr w:leftFromText="180" w:rightFromText="180" w:vertAnchor="text" w:horzAnchor="margin" w:tblpXSpec="center" w:tblpY="192"/>
        <w:tblW w:w="133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3830"/>
        <w:gridCol w:w="1507"/>
        <w:gridCol w:w="1153"/>
        <w:gridCol w:w="1419"/>
        <w:gridCol w:w="933"/>
        <w:gridCol w:w="1461"/>
        <w:gridCol w:w="975"/>
        <w:gridCol w:w="1153"/>
        <w:gridCol w:w="887"/>
      </w:tblGrid>
      <w:tr w:rsidR="00FE3460" w:rsidRPr="00EC37B3" w:rsidTr="00FE3460">
        <w:trPr>
          <w:trHeight w:val="550"/>
        </w:trPr>
        <w:tc>
          <w:tcPr>
            <w:tcW w:w="3830" w:type="dxa"/>
            <w:tcBorders>
              <w:bottom w:val="single" w:sz="8" w:space="0" w:color="auto"/>
            </w:tcBorders>
            <w:shd w:val="clear" w:color="auto" w:fill="92D050"/>
          </w:tcPr>
          <w:p w:rsidR="00FE3460" w:rsidRPr="003A7C31" w:rsidRDefault="00FE3460" w:rsidP="00FE3460">
            <w:bookmarkStart w:id="0" w:name="OLE_LINK1"/>
          </w:p>
        </w:tc>
        <w:tc>
          <w:tcPr>
            <w:tcW w:w="1507" w:type="dxa"/>
            <w:tcBorders>
              <w:bottom w:val="single" w:sz="8" w:space="0" w:color="auto"/>
            </w:tcBorders>
            <w:shd w:val="clear" w:color="auto" w:fill="92D050"/>
          </w:tcPr>
          <w:p w:rsidR="00FE3460" w:rsidRDefault="00FE3460" w:rsidP="00FE3460">
            <w:pPr>
              <w:jc w:val="center"/>
              <w:rPr>
                <w:b/>
              </w:rPr>
            </w:pPr>
            <w:r>
              <w:rPr>
                <w:b/>
              </w:rPr>
              <w:t>2009</w:t>
            </w:r>
          </w:p>
          <w:p w:rsidR="00FE3460" w:rsidRPr="00EC37B3" w:rsidRDefault="00FE3460" w:rsidP="00FE3460">
            <w:pPr>
              <w:jc w:val="center"/>
              <w:rPr>
                <w:b/>
              </w:rPr>
            </w:pPr>
            <w:r>
              <w:rPr>
                <w:b/>
              </w:rPr>
              <w:t>Benchmark</w:t>
            </w:r>
          </w:p>
        </w:tc>
        <w:tc>
          <w:tcPr>
            <w:tcW w:w="1153" w:type="dxa"/>
            <w:tcBorders>
              <w:bottom w:val="single" w:sz="8" w:space="0" w:color="auto"/>
            </w:tcBorders>
            <w:shd w:val="clear" w:color="auto" w:fill="92D050"/>
          </w:tcPr>
          <w:p w:rsidR="00FE3460" w:rsidRDefault="00FE3460" w:rsidP="00FE3460">
            <w:pPr>
              <w:jc w:val="center"/>
              <w:rPr>
                <w:b/>
              </w:rPr>
            </w:pPr>
            <w:r>
              <w:rPr>
                <w:b/>
              </w:rPr>
              <w:t>2009</w:t>
            </w:r>
          </w:p>
          <w:p w:rsidR="00FE3460" w:rsidRPr="00EC37B3" w:rsidRDefault="00FE3460" w:rsidP="00FE3460">
            <w:pPr>
              <w:jc w:val="center"/>
              <w:rPr>
                <w:b/>
              </w:rPr>
            </w:pPr>
            <w:r>
              <w:rPr>
                <w:b/>
              </w:rPr>
              <w:t>Actual</w:t>
            </w:r>
          </w:p>
        </w:tc>
        <w:tc>
          <w:tcPr>
            <w:tcW w:w="1419" w:type="dxa"/>
            <w:tcBorders>
              <w:bottom w:val="single" w:sz="8" w:space="0" w:color="auto"/>
            </w:tcBorders>
            <w:shd w:val="clear" w:color="auto" w:fill="92D050"/>
          </w:tcPr>
          <w:p w:rsidR="00FE3460" w:rsidRPr="00EC37B3" w:rsidRDefault="00FE3460" w:rsidP="00FE3460">
            <w:pPr>
              <w:jc w:val="center"/>
              <w:rPr>
                <w:b/>
              </w:rPr>
            </w:pPr>
            <w:r w:rsidRPr="00EC37B3">
              <w:rPr>
                <w:b/>
              </w:rPr>
              <w:t>2010 Benchmark</w:t>
            </w:r>
          </w:p>
        </w:tc>
        <w:tc>
          <w:tcPr>
            <w:tcW w:w="933" w:type="dxa"/>
            <w:tcBorders>
              <w:bottom w:val="single" w:sz="8" w:space="0" w:color="auto"/>
            </w:tcBorders>
            <w:shd w:val="clear" w:color="auto" w:fill="92D050"/>
          </w:tcPr>
          <w:p w:rsidR="00FE3460" w:rsidRPr="00EC37B3" w:rsidRDefault="00FE3460" w:rsidP="00FE3460">
            <w:pPr>
              <w:jc w:val="center"/>
              <w:rPr>
                <w:b/>
              </w:rPr>
            </w:pPr>
            <w:r w:rsidRPr="00EC37B3">
              <w:rPr>
                <w:b/>
              </w:rPr>
              <w:t>2010</w:t>
            </w:r>
          </w:p>
          <w:p w:rsidR="00FE3460" w:rsidRPr="00EC37B3" w:rsidRDefault="00FE3460" w:rsidP="00FE3460">
            <w:pPr>
              <w:jc w:val="center"/>
              <w:rPr>
                <w:b/>
              </w:rPr>
            </w:pPr>
            <w:r w:rsidRPr="00EC37B3">
              <w:rPr>
                <w:b/>
              </w:rPr>
              <w:t>Actual</w:t>
            </w:r>
          </w:p>
        </w:tc>
        <w:tc>
          <w:tcPr>
            <w:tcW w:w="1461" w:type="dxa"/>
            <w:tcBorders>
              <w:bottom w:val="single" w:sz="8" w:space="0" w:color="auto"/>
            </w:tcBorders>
            <w:shd w:val="clear" w:color="auto" w:fill="92D050"/>
          </w:tcPr>
          <w:p w:rsidR="00FE3460" w:rsidRPr="00EC37B3" w:rsidRDefault="00FE3460" w:rsidP="00FE3460">
            <w:pPr>
              <w:jc w:val="center"/>
              <w:rPr>
                <w:b/>
              </w:rPr>
            </w:pPr>
            <w:r w:rsidRPr="00EC37B3">
              <w:rPr>
                <w:b/>
              </w:rPr>
              <w:t>2011 Benchmark</w:t>
            </w:r>
          </w:p>
        </w:tc>
        <w:tc>
          <w:tcPr>
            <w:tcW w:w="975" w:type="dxa"/>
            <w:tcBorders>
              <w:bottom w:val="single" w:sz="8" w:space="0" w:color="auto"/>
            </w:tcBorders>
            <w:shd w:val="clear" w:color="auto" w:fill="92D050"/>
          </w:tcPr>
          <w:p w:rsidR="00FE3460" w:rsidRPr="00EC37B3" w:rsidRDefault="00FE3460" w:rsidP="00FE3460">
            <w:pPr>
              <w:jc w:val="center"/>
              <w:rPr>
                <w:b/>
              </w:rPr>
            </w:pPr>
            <w:r w:rsidRPr="00EC37B3">
              <w:rPr>
                <w:b/>
              </w:rPr>
              <w:t>2011</w:t>
            </w:r>
          </w:p>
          <w:p w:rsidR="00FE3460" w:rsidRPr="00EC37B3" w:rsidRDefault="00FE3460" w:rsidP="00FE3460">
            <w:pPr>
              <w:jc w:val="center"/>
              <w:rPr>
                <w:b/>
              </w:rPr>
            </w:pPr>
            <w:r w:rsidRPr="00EC37B3">
              <w:rPr>
                <w:b/>
              </w:rPr>
              <w:t>Actual</w:t>
            </w:r>
          </w:p>
        </w:tc>
        <w:tc>
          <w:tcPr>
            <w:tcW w:w="1153" w:type="dxa"/>
            <w:tcBorders>
              <w:bottom w:val="single" w:sz="8" w:space="0" w:color="auto"/>
            </w:tcBorders>
            <w:shd w:val="clear" w:color="auto" w:fill="92D050"/>
          </w:tcPr>
          <w:p w:rsidR="00FE3460" w:rsidRPr="00EC37B3" w:rsidRDefault="00FE3460" w:rsidP="00FE3460">
            <w:pPr>
              <w:jc w:val="center"/>
              <w:rPr>
                <w:b/>
              </w:rPr>
            </w:pPr>
            <w:r w:rsidRPr="00EC37B3">
              <w:rPr>
                <w:b/>
              </w:rPr>
              <w:t>2012 Benchmark</w:t>
            </w:r>
          </w:p>
        </w:tc>
        <w:tc>
          <w:tcPr>
            <w:tcW w:w="887" w:type="dxa"/>
            <w:tcBorders>
              <w:bottom w:val="single" w:sz="8" w:space="0" w:color="auto"/>
            </w:tcBorders>
            <w:shd w:val="clear" w:color="auto" w:fill="92D050"/>
          </w:tcPr>
          <w:p w:rsidR="00FE3460" w:rsidRPr="00EC37B3" w:rsidRDefault="00FE3460" w:rsidP="00FE3460">
            <w:pPr>
              <w:jc w:val="center"/>
              <w:rPr>
                <w:b/>
              </w:rPr>
            </w:pPr>
            <w:r w:rsidRPr="00EC37B3">
              <w:rPr>
                <w:b/>
              </w:rPr>
              <w:t>2012</w:t>
            </w:r>
          </w:p>
          <w:p w:rsidR="00FE3460" w:rsidRPr="00EC37B3" w:rsidRDefault="00FE3460" w:rsidP="00FE3460">
            <w:pPr>
              <w:jc w:val="center"/>
              <w:rPr>
                <w:b/>
              </w:rPr>
            </w:pPr>
            <w:r w:rsidRPr="00EC37B3">
              <w:rPr>
                <w:b/>
              </w:rPr>
              <w:t>Actual</w:t>
            </w:r>
          </w:p>
        </w:tc>
      </w:tr>
      <w:tr w:rsidR="00FE3460" w:rsidRPr="00EC37B3" w:rsidTr="00FE3460">
        <w:trPr>
          <w:trHeight w:val="398"/>
        </w:trPr>
        <w:tc>
          <w:tcPr>
            <w:tcW w:w="13316" w:type="dxa"/>
            <w:gridSpan w:val="9"/>
            <w:tcBorders>
              <w:top w:val="single" w:sz="8" w:space="0" w:color="auto"/>
              <w:left w:val="single" w:sz="8" w:space="0" w:color="auto"/>
              <w:bottom w:val="single" w:sz="8" w:space="0" w:color="auto"/>
              <w:right w:val="single" w:sz="8" w:space="0" w:color="auto"/>
            </w:tcBorders>
            <w:shd w:val="clear" w:color="auto" w:fill="92D050"/>
          </w:tcPr>
          <w:p w:rsidR="00FE3460" w:rsidRPr="004315B8" w:rsidRDefault="00FE3460" w:rsidP="00FE3460">
            <w:pPr>
              <w:rPr>
                <w:b/>
                <w:sz w:val="28"/>
                <w:szCs w:val="28"/>
              </w:rPr>
            </w:pPr>
            <w:r w:rsidRPr="004315B8">
              <w:rPr>
                <w:b/>
                <w:sz w:val="28"/>
                <w:szCs w:val="28"/>
              </w:rPr>
              <w:t xml:space="preserve">Outcome: </w:t>
            </w:r>
          </w:p>
          <w:p w:rsidR="00FE3460" w:rsidRPr="00EC37B3" w:rsidRDefault="00FE3460" w:rsidP="00FE3460">
            <w:r w:rsidRPr="00B87896">
              <w:rPr>
                <w:b/>
                <w:sz w:val="20"/>
                <w:szCs w:val="20"/>
              </w:rPr>
              <w:t>(NOTE: All Outcome Measures are set by aggregated data from a</w:t>
            </w:r>
            <w:r>
              <w:rPr>
                <w:b/>
                <w:sz w:val="20"/>
                <w:szCs w:val="20"/>
              </w:rPr>
              <w:t>uthorized companies</w:t>
            </w:r>
            <w:r w:rsidRPr="00B87896">
              <w:rPr>
                <w:b/>
                <w:sz w:val="20"/>
                <w:szCs w:val="20"/>
              </w:rPr>
              <w:t>)</w:t>
            </w:r>
            <w:r>
              <w:rPr>
                <w:b/>
                <w:sz w:val="20"/>
                <w:szCs w:val="20"/>
              </w:rPr>
              <w:t xml:space="preserve">            </w:t>
            </w:r>
            <w:r w:rsidRPr="00B87896">
              <w:rPr>
                <w:b/>
              </w:rPr>
              <w:t>DATA AS OF DECEMBER 31, 2010</w:t>
            </w:r>
          </w:p>
        </w:tc>
      </w:tr>
      <w:tr w:rsidR="00FE3460" w:rsidRPr="00EC37B3" w:rsidTr="00FE3460">
        <w:trPr>
          <w:trHeight w:val="325"/>
        </w:trPr>
        <w:tc>
          <w:tcPr>
            <w:tcW w:w="3830" w:type="dxa"/>
            <w:tcBorders>
              <w:top w:val="single" w:sz="8" w:space="0" w:color="auto"/>
              <w:left w:val="single" w:sz="8" w:space="0" w:color="auto"/>
              <w:bottom w:val="single" w:sz="8" w:space="0" w:color="auto"/>
              <w:right w:val="single" w:sz="8" w:space="0" w:color="auto"/>
            </w:tcBorders>
            <w:shd w:val="clear" w:color="auto" w:fill="92D050"/>
          </w:tcPr>
          <w:p w:rsidR="00FE3460" w:rsidRPr="006862AC" w:rsidRDefault="00FE3460" w:rsidP="00FE3460">
            <w:pPr>
              <w:rPr>
                <w:b/>
                <w:sz w:val="28"/>
                <w:szCs w:val="28"/>
              </w:rPr>
            </w:pPr>
            <w:r w:rsidRPr="006862AC">
              <w:rPr>
                <w:b/>
                <w:sz w:val="28"/>
                <w:szCs w:val="28"/>
              </w:rPr>
              <w:t>For Incentive Level of:</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r>
              <w:t>$617,000</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r>
              <w:t>$401,000</w:t>
            </w:r>
          </w:p>
        </w:tc>
        <w:tc>
          <w:tcPr>
            <w:tcW w:w="1419" w:type="dxa"/>
            <w:tcBorders>
              <w:top w:val="single" w:sz="8" w:space="0" w:color="auto"/>
              <w:left w:val="single" w:sz="8" w:space="0" w:color="auto"/>
              <w:bottom w:val="single" w:sz="8" w:space="0" w:color="auto"/>
              <w:right w:val="single" w:sz="8" w:space="0" w:color="auto"/>
            </w:tcBorders>
          </w:tcPr>
          <w:p w:rsidR="00FE3460" w:rsidRDefault="00FE3460" w:rsidP="00FE3460">
            <w:r>
              <w:t>$1.344 M</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tc>
        <w:tc>
          <w:tcPr>
            <w:tcW w:w="1461" w:type="dxa"/>
            <w:tcBorders>
              <w:top w:val="single" w:sz="8" w:space="0" w:color="auto"/>
              <w:left w:val="single" w:sz="8" w:space="0" w:color="auto"/>
              <w:bottom w:val="single" w:sz="8" w:space="0" w:color="auto"/>
              <w:right w:val="single" w:sz="8" w:space="0" w:color="auto"/>
            </w:tcBorders>
          </w:tcPr>
          <w:p w:rsidR="00FE3460" w:rsidRDefault="00FE3460" w:rsidP="00FE3460">
            <w:r>
              <w:t>$2.327 M</w:t>
            </w:r>
          </w:p>
        </w:tc>
        <w:tc>
          <w:tcPr>
            <w:tcW w:w="975" w:type="dxa"/>
            <w:tcBorders>
              <w:top w:val="single" w:sz="8" w:space="0" w:color="auto"/>
              <w:left w:val="single" w:sz="8" w:space="0" w:color="auto"/>
              <w:bottom w:val="single" w:sz="8" w:space="0" w:color="auto"/>
              <w:right w:val="single" w:sz="8" w:space="0" w:color="auto"/>
            </w:tcBorders>
          </w:tcPr>
          <w:p w:rsidR="00FE3460" w:rsidRPr="00EC37B3" w:rsidRDefault="00FE3460" w:rsidP="00FE3460"/>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r>
              <w:t>$3.181 M</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tc>
      </w:tr>
      <w:tr w:rsidR="00FE3460" w:rsidRPr="00EC37B3" w:rsidTr="00FE3460">
        <w:trPr>
          <w:trHeight w:val="271"/>
        </w:trPr>
        <w:tc>
          <w:tcPr>
            <w:tcW w:w="3830" w:type="dxa"/>
            <w:tcBorders>
              <w:top w:val="single" w:sz="8" w:space="0" w:color="auto"/>
              <w:left w:val="single" w:sz="8" w:space="0" w:color="auto"/>
              <w:bottom w:val="single" w:sz="8" w:space="0" w:color="auto"/>
              <w:right w:val="single" w:sz="8" w:space="0" w:color="auto"/>
            </w:tcBorders>
          </w:tcPr>
          <w:p w:rsidR="00FE3460" w:rsidRPr="001B7BB2" w:rsidRDefault="00FE3460" w:rsidP="00FE3460">
            <w:r w:rsidRPr="00EC37B3">
              <w:rPr>
                <w:b/>
              </w:rPr>
              <w:t xml:space="preserve">  </w:t>
            </w:r>
            <w:r w:rsidRPr="001B7BB2">
              <w:t>Incremental Qualifying Jobs</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207</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200</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434</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464</w:t>
            </w:r>
          </w:p>
        </w:tc>
        <w:tc>
          <w:tcPr>
            <w:tcW w:w="975"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523</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479"/>
        </w:trPr>
        <w:tc>
          <w:tcPr>
            <w:tcW w:w="3830"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tabs>
                <w:tab w:val="left" w:pos="344"/>
              </w:tabs>
              <w:rPr>
                <w:b/>
              </w:rPr>
            </w:pPr>
            <w:r w:rsidRPr="00EC37B3">
              <w:t xml:space="preserve">  </w:t>
            </w:r>
            <w:r>
              <w:t xml:space="preserve">Percentage of New Qualifying That </w:t>
            </w:r>
            <w:r>
              <w:tab/>
              <w:t>are Vermont Residents</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91%</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99%</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91%</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91%</w:t>
            </w:r>
          </w:p>
        </w:tc>
        <w:tc>
          <w:tcPr>
            <w:tcW w:w="975"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91%</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278"/>
        </w:trPr>
        <w:tc>
          <w:tcPr>
            <w:tcW w:w="3830" w:type="dxa"/>
            <w:tcBorders>
              <w:top w:val="single" w:sz="8" w:space="0" w:color="auto"/>
              <w:left w:val="single" w:sz="8" w:space="0" w:color="auto"/>
              <w:bottom w:val="single" w:sz="8" w:space="0" w:color="auto"/>
              <w:right w:val="single" w:sz="8" w:space="0" w:color="auto"/>
            </w:tcBorders>
          </w:tcPr>
          <w:p w:rsidR="00FE3460" w:rsidRPr="00533030" w:rsidRDefault="00FE3460" w:rsidP="00FE3460">
            <w:r>
              <w:rPr>
                <w:b/>
              </w:rPr>
              <w:t xml:space="preserve">  </w:t>
            </w:r>
            <w:r w:rsidRPr="00533030">
              <w:t>Incremental Qualifying Payroll</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$10.4 M</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$11.7 M</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$22.3 M</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$24.4 M</w:t>
            </w:r>
          </w:p>
        </w:tc>
        <w:tc>
          <w:tcPr>
            <w:tcW w:w="975"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$27.0 M</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401"/>
        </w:trPr>
        <w:tc>
          <w:tcPr>
            <w:tcW w:w="3830" w:type="dxa"/>
            <w:tcBorders>
              <w:top w:val="single" w:sz="8" w:space="0" w:color="auto"/>
              <w:left w:val="single" w:sz="8" w:space="0" w:color="auto"/>
              <w:bottom w:val="single" w:sz="8" w:space="0" w:color="auto"/>
              <w:right w:val="single" w:sz="8" w:space="0" w:color="auto"/>
            </w:tcBorders>
          </w:tcPr>
          <w:p w:rsidR="00FE3460" w:rsidRPr="00533030" w:rsidRDefault="00FE3460" w:rsidP="00FE3460">
            <w:pPr>
              <w:tabs>
                <w:tab w:val="left" w:pos="361"/>
              </w:tabs>
            </w:pPr>
            <w:r>
              <w:rPr>
                <w:b/>
              </w:rPr>
              <w:t xml:space="preserve">  </w:t>
            </w:r>
            <w:r w:rsidRPr="00533030">
              <w:t>Increme</w:t>
            </w:r>
            <w:r>
              <w:t>n</w:t>
            </w:r>
            <w:r w:rsidRPr="00533030">
              <w:t xml:space="preserve">tal </w:t>
            </w:r>
            <w:r w:rsidRPr="001B7BB2">
              <w:t xml:space="preserve">Qualifying Capital </w:t>
            </w:r>
            <w:r>
              <w:tab/>
            </w:r>
            <w:r w:rsidRPr="001B7BB2">
              <w:t>Investments</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$23.7</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$25.9 M</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$40.4 M</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4" w:space="0" w:color="auto"/>
            </w:tcBorders>
          </w:tcPr>
          <w:p w:rsidR="00FE3460" w:rsidRPr="00EC37B3" w:rsidRDefault="00FE3460" w:rsidP="00FE3460">
            <w:pPr>
              <w:jc w:val="center"/>
            </w:pPr>
            <w:r>
              <w:t>$61.0 M</w:t>
            </w:r>
          </w:p>
        </w:tc>
        <w:tc>
          <w:tcPr>
            <w:tcW w:w="975"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$71.6 M</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283"/>
        </w:trPr>
        <w:tc>
          <w:tcPr>
            <w:tcW w:w="3830" w:type="dxa"/>
            <w:tcBorders>
              <w:top w:val="single" w:sz="8" w:space="0" w:color="auto"/>
              <w:left w:val="single" w:sz="8" w:space="0" w:color="auto"/>
              <w:bottom w:val="single" w:sz="8" w:space="0" w:color="auto"/>
              <w:right w:val="single" w:sz="4" w:space="0" w:color="auto"/>
            </w:tcBorders>
          </w:tcPr>
          <w:p w:rsidR="00FE3460" w:rsidRPr="001B7BB2" w:rsidRDefault="00FE3460" w:rsidP="00FE3460">
            <w:r>
              <w:rPr>
                <w:b/>
              </w:rPr>
              <w:t xml:space="preserve">  </w:t>
            </w:r>
            <w:r w:rsidRPr="001B7BB2">
              <w:t>Incremental Net Revenues</w:t>
            </w:r>
          </w:p>
        </w:tc>
        <w:tc>
          <w:tcPr>
            <w:tcW w:w="1507" w:type="dxa"/>
            <w:tcBorders>
              <w:top w:val="single" w:sz="8" w:space="0" w:color="auto"/>
              <w:left w:val="single" w:sz="4" w:space="0" w:color="auto"/>
              <w:bottom w:val="single" w:sz="8" w:space="0" w:color="auto"/>
              <w:right w:val="single" w:sz="4" w:space="0" w:color="auto"/>
            </w:tcBorders>
          </w:tcPr>
          <w:p w:rsidR="00FE3460" w:rsidRDefault="00FE3460" w:rsidP="00FE3460">
            <w:pPr>
              <w:jc w:val="center"/>
            </w:pPr>
            <w:r>
              <w:t>$1.0 M</w:t>
            </w:r>
          </w:p>
        </w:tc>
        <w:tc>
          <w:tcPr>
            <w:tcW w:w="1153" w:type="dxa"/>
            <w:tcBorders>
              <w:top w:val="single" w:sz="8" w:space="0" w:color="auto"/>
              <w:left w:val="single" w:sz="4" w:space="0" w:color="auto"/>
              <w:bottom w:val="single" w:sz="8" w:space="0" w:color="auto"/>
              <w:right w:val="single" w:sz="8" w:space="0" w:color="auto"/>
            </w:tcBorders>
          </w:tcPr>
          <w:p w:rsidR="00FE3460" w:rsidRDefault="00FE3460" w:rsidP="00FE3460">
            <w:pPr>
              <w:jc w:val="center"/>
            </w:pPr>
            <w:r>
              <w:t>$1.0M</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$2.0 M</w:t>
            </w:r>
          </w:p>
        </w:tc>
        <w:tc>
          <w:tcPr>
            <w:tcW w:w="933" w:type="dxa"/>
            <w:tcBorders>
              <w:top w:val="single" w:sz="8" w:space="0" w:color="auto"/>
              <w:left w:val="single" w:sz="8" w:space="0" w:color="auto"/>
              <w:bottom w:val="single" w:sz="8" w:space="0" w:color="auto"/>
              <w:right w:val="single" w:sz="4" w:space="0" w:color="auto"/>
            </w:tcBorders>
          </w:tcPr>
          <w:p w:rsidR="00FE3460" w:rsidRPr="00EC37B3" w:rsidRDefault="00FE3460" w:rsidP="00FE3460">
            <w:pPr>
              <w:jc w:val="center"/>
            </w:pPr>
          </w:p>
        </w:tc>
        <w:tc>
          <w:tcPr>
            <w:tcW w:w="1461"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$3.1 M</w:t>
            </w:r>
          </w:p>
        </w:tc>
        <w:tc>
          <w:tcPr>
            <w:tcW w:w="975"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p>
        </w:tc>
        <w:tc>
          <w:tcPr>
            <w:tcW w:w="1153"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$3.4 M</w:t>
            </w:r>
          </w:p>
        </w:tc>
        <w:tc>
          <w:tcPr>
            <w:tcW w:w="887"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289"/>
        </w:trPr>
        <w:tc>
          <w:tcPr>
            <w:tcW w:w="3830" w:type="dxa"/>
            <w:tcBorders>
              <w:top w:val="single" w:sz="8" w:space="0" w:color="auto"/>
              <w:left w:val="single" w:sz="8" w:space="0" w:color="auto"/>
              <w:bottom w:val="single" w:sz="8" w:space="0" w:color="auto"/>
              <w:right w:val="single" w:sz="4" w:space="0" w:color="auto"/>
            </w:tcBorders>
            <w:shd w:val="clear" w:color="auto" w:fill="92D050"/>
          </w:tcPr>
          <w:p w:rsidR="00FE3460" w:rsidRPr="004315B8" w:rsidRDefault="00FE3460" w:rsidP="00FE3460">
            <w:pPr>
              <w:rPr>
                <w:sz w:val="28"/>
                <w:szCs w:val="28"/>
              </w:rPr>
            </w:pPr>
            <w:r w:rsidRPr="004315B8">
              <w:rPr>
                <w:b/>
                <w:sz w:val="28"/>
                <w:szCs w:val="28"/>
              </w:rPr>
              <w:t>Output:</w:t>
            </w:r>
          </w:p>
        </w:tc>
        <w:tc>
          <w:tcPr>
            <w:tcW w:w="1507"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15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419"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93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461"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975"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15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887" w:type="dxa"/>
            <w:tcBorders>
              <w:top w:val="single" w:sz="8" w:space="0" w:color="auto"/>
              <w:left w:val="single" w:sz="4" w:space="0" w:color="auto"/>
              <w:bottom w:val="single" w:sz="8" w:space="0" w:color="auto"/>
              <w:right w:val="single" w:sz="8" w:space="0" w:color="auto"/>
            </w:tcBorders>
          </w:tcPr>
          <w:p w:rsidR="00FE3460" w:rsidRPr="004315B8" w:rsidRDefault="00FE3460" w:rsidP="00FE3460">
            <w:pPr>
              <w:rPr>
                <w:sz w:val="28"/>
                <w:szCs w:val="28"/>
              </w:rPr>
            </w:pPr>
          </w:p>
        </w:tc>
      </w:tr>
      <w:tr w:rsidR="00FE3460" w:rsidRPr="00EC37B3" w:rsidTr="00FE3460">
        <w:trPr>
          <w:trHeight w:val="455"/>
        </w:trPr>
        <w:tc>
          <w:tcPr>
            <w:tcW w:w="3830"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tabs>
                <w:tab w:val="left" w:pos="361"/>
              </w:tabs>
              <w:rPr>
                <w:b/>
              </w:rPr>
            </w:pPr>
            <w:r w:rsidRPr="00EC37B3">
              <w:rPr>
                <w:b/>
              </w:rPr>
              <w:t xml:space="preserve">   </w:t>
            </w:r>
            <w:r w:rsidRPr="00EC37B3">
              <w:t>N</w:t>
            </w:r>
            <w:r>
              <w:t xml:space="preserve">et Revenue Generated Per New </w:t>
            </w:r>
            <w:r>
              <w:tab/>
              <w:t>Qualifying Job</w:t>
            </w:r>
          </w:p>
        </w:tc>
        <w:tc>
          <w:tcPr>
            <w:tcW w:w="1507" w:type="dxa"/>
            <w:tcBorders>
              <w:top w:val="single" w:sz="8" w:space="0" w:color="auto"/>
              <w:left w:val="single" w:sz="8" w:space="0" w:color="auto"/>
              <w:bottom w:val="single" w:sz="8" w:space="0" w:color="auto"/>
              <w:right w:val="single" w:sz="4" w:space="0" w:color="auto"/>
            </w:tcBorders>
          </w:tcPr>
          <w:p w:rsidR="00FE3460" w:rsidRDefault="00FE3460" w:rsidP="00FE3460">
            <w:pPr>
              <w:jc w:val="center"/>
            </w:pPr>
            <w:r>
              <w:t>$4830</w:t>
            </w:r>
          </w:p>
        </w:tc>
        <w:tc>
          <w:tcPr>
            <w:tcW w:w="1153" w:type="dxa"/>
            <w:tcBorders>
              <w:top w:val="single" w:sz="8" w:space="0" w:color="auto"/>
              <w:left w:val="single" w:sz="4" w:space="0" w:color="auto"/>
              <w:bottom w:val="single" w:sz="8" w:space="0" w:color="auto"/>
              <w:right w:val="single" w:sz="4" w:space="0" w:color="auto"/>
            </w:tcBorders>
          </w:tcPr>
          <w:p w:rsidR="00FE3460" w:rsidRDefault="00FE3460" w:rsidP="00FE3460">
            <w:pPr>
              <w:jc w:val="center"/>
            </w:pPr>
            <w:r>
              <w:t>$5,100</w:t>
            </w:r>
          </w:p>
        </w:tc>
        <w:tc>
          <w:tcPr>
            <w:tcW w:w="1419"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$4608</w:t>
            </w:r>
          </w:p>
        </w:tc>
        <w:tc>
          <w:tcPr>
            <w:tcW w:w="933"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4" w:space="0" w:color="auto"/>
            </w:tcBorders>
          </w:tcPr>
          <w:p w:rsidR="00FE3460" w:rsidRPr="00EC37B3" w:rsidRDefault="00FE3460" w:rsidP="00FE3460">
            <w:pPr>
              <w:jc w:val="center"/>
            </w:pPr>
            <w:r>
              <w:t>$6681</w:t>
            </w:r>
          </w:p>
        </w:tc>
        <w:tc>
          <w:tcPr>
            <w:tcW w:w="975"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p>
        </w:tc>
        <w:tc>
          <w:tcPr>
            <w:tcW w:w="1153"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$6501</w:t>
            </w:r>
          </w:p>
        </w:tc>
        <w:tc>
          <w:tcPr>
            <w:tcW w:w="887"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283"/>
        </w:trPr>
        <w:tc>
          <w:tcPr>
            <w:tcW w:w="3830" w:type="dxa"/>
            <w:tcBorders>
              <w:top w:val="single" w:sz="8" w:space="0" w:color="auto"/>
              <w:left w:val="single" w:sz="8" w:space="0" w:color="auto"/>
              <w:bottom w:val="single" w:sz="8" w:space="0" w:color="auto"/>
              <w:right w:val="single" w:sz="4" w:space="0" w:color="auto"/>
            </w:tcBorders>
          </w:tcPr>
          <w:p w:rsidR="00FE3460" w:rsidRPr="00533030" w:rsidRDefault="00FE3460" w:rsidP="00FE3460">
            <w:r w:rsidRPr="00EC37B3">
              <w:rPr>
                <w:b/>
              </w:rPr>
              <w:t xml:space="preserve">   </w:t>
            </w:r>
            <w:r w:rsidRPr="00533030">
              <w:t>Number of Applications Considered</w:t>
            </w:r>
          </w:p>
        </w:tc>
        <w:tc>
          <w:tcPr>
            <w:tcW w:w="1507" w:type="dxa"/>
            <w:tcBorders>
              <w:top w:val="single" w:sz="8" w:space="0" w:color="auto"/>
              <w:left w:val="single" w:sz="4" w:space="0" w:color="auto"/>
              <w:bottom w:val="single" w:sz="8" w:space="0" w:color="auto"/>
              <w:right w:val="single" w:sz="4" w:space="0" w:color="auto"/>
            </w:tcBorders>
          </w:tcPr>
          <w:p w:rsidR="00FE3460" w:rsidRDefault="00FE3460" w:rsidP="00FE3460">
            <w:pPr>
              <w:jc w:val="center"/>
            </w:pPr>
            <w:r>
              <w:t>22</w:t>
            </w:r>
          </w:p>
        </w:tc>
        <w:tc>
          <w:tcPr>
            <w:tcW w:w="1153" w:type="dxa"/>
            <w:tcBorders>
              <w:top w:val="single" w:sz="8" w:space="0" w:color="auto"/>
              <w:left w:val="single" w:sz="4" w:space="0" w:color="auto"/>
              <w:bottom w:val="single" w:sz="8" w:space="0" w:color="auto"/>
              <w:right w:val="single" w:sz="4" w:space="0" w:color="auto"/>
            </w:tcBorders>
          </w:tcPr>
          <w:p w:rsidR="00FE3460" w:rsidRDefault="00FE3460" w:rsidP="00FE3460">
            <w:pPr>
              <w:jc w:val="center"/>
            </w:pPr>
            <w:r>
              <w:t>26</w:t>
            </w:r>
          </w:p>
        </w:tc>
        <w:tc>
          <w:tcPr>
            <w:tcW w:w="1419"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22</w:t>
            </w:r>
          </w:p>
        </w:tc>
        <w:tc>
          <w:tcPr>
            <w:tcW w:w="933"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23</w:t>
            </w:r>
          </w:p>
        </w:tc>
        <w:tc>
          <w:tcPr>
            <w:tcW w:w="1461" w:type="dxa"/>
            <w:tcBorders>
              <w:top w:val="single" w:sz="8" w:space="0" w:color="auto"/>
              <w:left w:val="single" w:sz="4" w:space="0" w:color="auto"/>
              <w:bottom w:val="single" w:sz="8" w:space="0" w:color="auto"/>
              <w:right w:val="single" w:sz="4" w:space="0" w:color="000000" w:themeColor="text1"/>
            </w:tcBorders>
          </w:tcPr>
          <w:p w:rsidR="00FE3460" w:rsidRPr="00EC37B3" w:rsidRDefault="00FE3460" w:rsidP="00FE3460">
            <w:pPr>
              <w:jc w:val="center"/>
            </w:pPr>
            <w:r>
              <w:t>25</w:t>
            </w:r>
          </w:p>
        </w:tc>
        <w:tc>
          <w:tcPr>
            <w:tcW w:w="975" w:type="dxa"/>
            <w:tcBorders>
              <w:top w:val="single" w:sz="8" w:space="0" w:color="auto"/>
              <w:left w:val="single" w:sz="4" w:space="0" w:color="000000" w:themeColor="text1"/>
              <w:bottom w:val="single" w:sz="8" w:space="0" w:color="auto"/>
              <w:right w:val="single" w:sz="4" w:space="0" w:color="auto"/>
            </w:tcBorders>
          </w:tcPr>
          <w:p w:rsidR="00FE3460" w:rsidRPr="00EC37B3" w:rsidRDefault="00FE3460" w:rsidP="00FE3460">
            <w:pPr>
              <w:jc w:val="center"/>
            </w:pPr>
          </w:p>
        </w:tc>
        <w:tc>
          <w:tcPr>
            <w:tcW w:w="1153" w:type="dxa"/>
            <w:tcBorders>
              <w:top w:val="single" w:sz="8" w:space="0" w:color="auto"/>
              <w:left w:val="single" w:sz="4" w:space="0" w:color="auto"/>
              <w:bottom w:val="single" w:sz="8" w:space="0" w:color="auto"/>
              <w:right w:val="single" w:sz="4" w:space="0" w:color="auto"/>
            </w:tcBorders>
          </w:tcPr>
          <w:p w:rsidR="00FE3460" w:rsidRPr="00EC37B3" w:rsidRDefault="00FE3460" w:rsidP="00FE3460">
            <w:pPr>
              <w:jc w:val="center"/>
            </w:pPr>
            <w:r>
              <w:t>30</w:t>
            </w:r>
          </w:p>
        </w:tc>
        <w:tc>
          <w:tcPr>
            <w:tcW w:w="887"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283"/>
        </w:trPr>
        <w:tc>
          <w:tcPr>
            <w:tcW w:w="3830" w:type="dxa"/>
            <w:tcBorders>
              <w:top w:val="single" w:sz="8" w:space="0" w:color="auto"/>
              <w:left w:val="single" w:sz="8" w:space="0" w:color="auto"/>
              <w:bottom w:val="single" w:sz="8" w:space="0" w:color="auto"/>
              <w:right w:val="single" w:sz="4" w:space="0" w:color="auto"/>
            </w:tcBorders>
            <w:shd w:val="clear" w:color="auto" w:fill="92D050"/>
          </w:tcPr>
          <w:p w:rsidR="00FE3460" w:rsidRPr="004315B8" w:rsidRDefault="00FE3460" w:rsidP="00FE3460">
            <w:pPr>
              <w:rPr>
                <w:sz w:val="28"/>
                <w:szCs w:val="28"/>
              </w:rPr>
            </w:pPr>
            <w:r w:rsidRPr="00EC37B3">
              <w:rPr>
                <w:b/>
              </w:rPr>
              <w:t xml:space="preserve"> </w:t>
            </w:r>
            <w:r w:rsidRPr="004315B8">
              <w:rPr>
                <w:b/>
                <w:sz w:val="28"/>
                <w:szCs w:val="28"/>
              </w:rPr>
              <w:t>Efficiency:</w:t>
            </w:r>
          </w:p>
        </w:tc>
        <w:tc>
          <w:tcPr>
            <w:tcW w:w="1507"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15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419"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93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461"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975"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1153" w:type="dxa"/>
            <w:tcBorders>
              <w:top w:val="single" w:sz="8" w:space="0" w:color="auto"/>
              <w:left w:val="single" w:sz="4" w:space="0" w:color="auto"/>
              <w:bottom w:val="single" w:sz="8" w:space="0" w:color="auto"/>
              <w:right w:val="single" w:sz="4" w:space="0" w:color="auto"/>
            </w:tcBorders>
          </w:tcPr>
          <w:p w:rsidR="00FE3460" w:rsidRPr="004315B8" w:rsidRDefault="00FE3460" w:rsidP="00FE3460">
            <w:pPr>
              <w:rPr>
                <w:sz w:val="28"/>
                <w:szCs w:val="28"/>
              </w:rPr>
            </w:pPr>
          </w:p>
        </w:tc>
        <w:tc>
          <w:tcPr>
            <w:tcW w:w="887" w:type="dxa"/>
            <w:tcBorders>
              <w:top w:val="single" w:sz="8" w:space="0" w:color="auto"/>
              <w:left w:val="single" w:sz="4" w:space="0" w:color="auto"/>
              <w:bottom w:val="single" w:sz="8" w:space="0" w:color="auto"/>
              <w:right w:val="single" w:sz="8" w:space="0" w:color="auto"/>
            </w:tcBorders>
          </w:tcPr>
          <w:p w:rsidR="00FE3460" w:rsidRPr="004315B8" w:rsidRDefault="00FE3460" w:rsidP="00FE3460">
            <w:pPr>
              <w:rPr>
                <w:sz w:val="28"/>
                <w:szCs w:val="28"/>
              </w:rPr>
            </w:pPr>
          </w:p>
        </w:tc>
      </w:tr>
      <w:tr w:rsidR="00FE3460" w:rsidRPr="00EC37B3" w:rsidTr="00FE3460">
        <w:trPr>
          <w:trHeight w:val="461"/>
        </w:trPr>
        <w:tc>
          <w:tcPr>
            <w:tcW w:w="3830" w:type="dxa"/>
            <w:tcBorders>
              <w:top w:val="single" w:sz="8" w:space="0" w:color="auto"/>
              <w:left w:val="single" w:sz="8" w:space="0" w:color="auto"/>
              <w:bottom w:val="single" w:sz="8" w:space="0" w:color="auto"/>
              <w:right w:val="single" w:sz="4" w:space="0" w:color="auto"/>
            </w:tcBorders>
          </w:tcPr>
          <w:p w:rsidR="00FE3460" w:rsidRPr="00533030" w:rsidRDefault="00FE3460" w:rsidP="00FE3460">
            <w:pPr>
              <w:tabs>
                <w:tab w:val="left" w:pos="378"/>
              </w:tabs>
            </w:pPr>
            <w:r w:rsidRPr="00EC37B3">
              <w:rPr>
                <w:b/>
              </w:rPr>
              <w:t xml:space="preserve">  </w:t>
            </w:r>
            <w:r w:rsidRPr="00533030">
              <w:t xml:space="preserve"> Modeling Cost Per Application </w:t>
            </w:r>
            <w:r>
              <w:tab/>
            </w:r>
            <w:r w:rsidRPr="00533030">
              <w:t>Modeled</w:t>
            </w:r>
            <w:r>
              <w:t xml:space="preserve"> (FY basis)</w:t>
            </w:r>
          </w:p>
        </w:tc>
        <w:tc>
          <w:tcPr>
            <w:tcW w:w="1507" w:type="dxa"/>
            <w:tcBorders>
              <w:top w:val="single" w:sz="8" w:space="0" w:color="auto"/>
              <w:left w:val="single" w:sz="4" w:space="0" w:color="auto"/>
              <w:bottom w:val="single" w:sz="8" w:space="0" w:color="auto"/>
              <w:right w:val="single" w:sz="8" w:space="0" w:color="auto"/>
            </w:tcBorders>
          </w:tcPr>
          <w:p w:rsidR="00FE3460" w:rsidRDefault="00FE3460" w:rsidP="00FE3460">
            <w:pPr>
              <w:jc w:val="center"/>
            </w:pPr>
            <w:r>
              <w:t>$365</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$365</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$365</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$322</w:t>
            </w:r>
          </w:p>
        </w:tc>
        <w:tc>
          <w:tcPr>
            <w:tcW w:w="1461" w:type="dxa"/>
            <w:tcBorders>
              <w:top w:val="single" w:sz="8" w:space="0" w:color="auto"/>
              <w:left w:val="single" w:sz="8" w:space="0" w:color="auto"/>
              <w:bottom w:val="single" w:sz="8" w:space="0" w:color="auto"/>
              <w:right w:val="single" w:sz="4" w:space="0" w:color="000000" w:themeColor="text1"/>
            </w:tcBorders>
          </w:tcPr>
          <w:p w:rsidR="00FE3460" w:rsidRPr="00EC37B3" w:rsidRDefault="00FE3460" w:rsidP="00FE3460">
            <w:pPr>
              <w:jc w:val="center"/>
            </w:pPr>
            <w:r>
              <w:t>$350</w:t>
            </w:r>
          </w:p>
        </w:tc>
        <w:tc>
          <w:tcPr>
            <w:tcW w:w="975" w:type="dxa"/>
            <w:tcBorders>
              <w:top w:val="single" w:sz="8" w:space="0" w:color="auto"/>
              <w:left w:val="single" w:sz="4" w:space="0" w:color="000000" w:themeColor="text1"/>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4" w:space="0" w:color="auto"/>
            </w:tcBorders>
          </w:tcPr>
          <w:p w:rsidR="00FE3460" w:rsidRPr="00EC37B3" w:rsidRDefault="00FE3460" w:rsidP="00FE3460">
            <w:pPr>
              <w:jc w:val="center"/>
            </w:pPr>
            <w:r>
              <w:t>$325</w:t>
            </w:r>
          </w:p>
        </w:tc>
        <w:tc>
          <w:tcPr>
            <w:tcW w:w="887" w:type="dxa"/>
            <w:tcBorders>
              <w:top w:val="single" w:sz="8" w:space="0" w:color="auto"/>
              <w:left w:val="single" w:sz="4" w:space="0" w:color="auto"/>
              <w:bottom w:val="single" w:sz="8" w:space="0" w:color="auto"/>
              <w:right w:val="single" w:sz="8" w:space="0" w:color="auto"/>
            </w:tcBorders>
          </w:tcPr>
          <w:p w:rsidR="00FE3460" w:rsidRPr="00EC37B3" w:rsidRDefault="00FE3460" w:rsidP="00FE3460">
            <w:pPr>
              <w:jc w:val="center"/>
            </w:pPr>
          </w:p>
        </w:tc>
      </w:tr>
      <w:tr w:rsidR="00FE3460" w:rsidRPr="00EC37B3" w:rsidTr="00FE3460">
        <w:trPr>
          <w:trHeight w:val="461"/>
        </w:trPr>
        <w:tc>
          <w:tcPr>
            <w:tcW w:w="3830" w:type="dxa"/>
            <w:tcBorders>
              <w:top w:val="single" w:sz="8" w:space="0" w:color="auto"/>
              <w:left w:val="single" w:sz="8" w:space="0" w:color="auto"/>
              <w:bottom w:val="single" w:sz="8" w:space="0" w:color="auto"/>
              <w:right w:val="single" w:sz="8" w:space="0" w:color="auto"/>
            </w:tcBorders>
          </w:tcPr>
          <w:p w:rsidR="00FE3460" w:rsidRPr="00533030" w:rsidRDefault="00FE3460" w:rsidP="00FE3460">
            <w:pPr>
              <w:tabs>
                <w:tab w:val="left" w:pos="378"/>
              </w:tabs>
            </w:pPr>
            <w:r w:rsidRPr="00EC37B3">
              <w:rPr>
                <w:b/>
              </w:rPr>
              <w:t xml:space="preserve">   </w:t>
            </w:r>
            <w:r w:rsidRPr="001B7BB2">
              <w:t>Budgetary Cost</w:t>
            </w:r>
            <w:r w:rsidRPr="00533030">
              <w:t xml:space="preserve"> per New Qualifying </w:t>
            </w:r>
            <w:r>
              <w:tab/>
            </w:r>
            <w:r w:rsidRPr="00533030">
              <w:t>Job Created</w:t>
            </w:r>
          </w:p>
        </w:tc>
        <w:tc>
          <w:tcPr>
            <w:tcW w:w="1507"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$1067</w:t>
            </w:r>
          </w:p>
        </w:tc>
        <w:tc>
          <w:tcPr>
            <w:tcW w:w="1153" w:type="dxa"/>
            <w:tcBorders>
              <w:top w:val="single" w:sz="8" w:space="0" w:color="auto"/>
              <w:left w:val="single" w:sz="8" w:space="0" w:color="auto"/>
              <w:bottom w:val="single" w:sz="8" w:space="0" w:color="auto"/>
              <w:right w:val="single" w:sz="8" w:space="0" w:color="auto"/>
            </w:tcBorders>
          </w:tcPr>
          <w:p w:rsidR="00FE3460" w:rsidRDefault="00FE3460" w:rsidP="00FE3460">
            <w:pPr>
              <w:jc w:val="center"/>
            </w:pPr>
            <w:r>
              <w:t>$1105</w:t>
            </w:r>
          </w:p>
        </w:tc>
        <w:tc>
          <w:tcPr>
            <w:tcW w:w="1419"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$509</w:t>
            </w:r>
          </w:p>
        </w:tc>
        <w:tc>
          <w:tcPr>
            <w:tcW w:w="93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461"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$476</w:t>
            </w:r>
          </w:p>
        </w:tc>
        <w:tc>
          <w:tcPr>
            <w:tcW w:w="975"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c>
          <w:tcPr>
            <w:tcW w:w="1153"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r>
              <w:t>$422</w:t>
            </w:r>
          </w:p>
        </w:tc>
        <w:tc>
          <w:tcPr>
            <w:tcW w:w="887" w:type="dxa"/>
            <w:tcBorders>
              <w:top w:val="single" w:sz="8" w:space="0" w:color="auto"/>
              <w:left w:val="single" w:sz="8" w:space="0" w:color="auto"/>
              <w:bottom w:val="single" w:sz="8" w:space="0" w:color="auto"/>
              <w:right w:val="single" w:sz="8" w:space="0" w:color="auto"/>
            </w:tcBorders>
          </w:tcPr>
          <w:p w:rsidR="00FE3460" w:rsidRPr="00EC37B3" w:rsidRDefault="00FE3460" w:rsidP="00FE3460">
            <w:pPr>
              <w:jc w:val="center"/>
            </w:pPr>
          </w:p>
        </w:tc>
      </w:tr>
      <w:bookmarkEnd w:id="0"/>
    </w:tbl>
    <w:p w:rsidR="004B7ECC" w:rsidRDefault="004B7ECC" w:rsidP="00C21F63">
      <w:pPr>
        <w:ind w:right="-720"/>
        <w:rPr>
          <w:b/>
          <w:u w:val="single"/>
        </w:rPr>
      </w:pPr>
    </w:p>
    <w:p w:rsidR="00D5446F" w:rsidRPr="00E113AB" w:rsidRDefault="00FE3460" w:rsidP="00C21F63">
      <w:pPr>
        <w:ind w:right="-720"/>
      </w:pPr>
      <w:r w:rsidRPr="00E113AB">
        <w:rPr>
          <w:u w:val="single"/>
        </w:rPr>
        <w:t>VEGI Aggregated Data</w:t>
      </w:r>
      <w:r w:rsidR="00F56B90" w:rsidRPr="00E113AB">
        <w:rPr>
          <w:u w:val="single"/>
        </w:rPr>
        <w:t>:</w:t>
      </w:r>
    </w:p>
    <w:p w:rsidR="00FE3460" w:rsidRPr="00F56B90" w:rsidRDefault="00FE3460" w:rsidP="00FE3460">
      <w:pPr>
        <w:jc w:val="center"/>
        <w:rPr>
          <w:b/>
        </w:rPr>
      </w:pPr>
      <w:r w:rsidRPr="00F56B90">
        <w:rPr>
          <w:b/>
        </w:rPr>
        <w:t>APPLICATION SUMMARY - JANUARY 2007 - DECEMBER 2011</w:t>
      </w:r>
    </w:p>
    <w:p w:rsidR="00FE3460" w:rsidRPr="00F56B90" w:rsidRDefault="00FE3460" w:rsidP="004B7ECC">
      <w:pPr>
        <w:ind w:right="-720"/>
      </w:pPr>
      <w:r w:rsidRPr="00F56B90">
        <w:t>Total Application Volume (all Types):</w:t>
      </w:r>
      <w:r w:rsidRPr="00F56B90">
        <w:tab/>
      </w:r>
      <w:r w:rsidRPr="00F56B90">
        <w:tab/>
      </w:r>
      <w:r w:rsidRPr="00F56B90">
        <w:tab/>
      </w:r>
      <w:r w:rsidRPr="00F56B90">
        <w:tab/>
        <w:t>293 (59/Year)</w:t>
      </w:r>
    </w:p>
    <w:p w:rsidR="00FE3460" w:rsidRPr="00F56B90" w:rsidRDefault="00FE3460" w:rsidP="004B7ECC">
      <w:pPr>
        <w:ind w:right="-720"/>
      </w:pPr>
      <w:r w:rsidRPr="00F56B90">
        <w:t>Total Net Applications:</w:t>
      </w:r>
      <w:r w:rsidRPr="00F56B90">
        <w:tab/>
      </w:r>
      <w:r w:rsidRPr="00F56B90">
        <w:tab/>
      </w:r>
      <w:r w:rsidRPr="00F56B90">
        <w:tab/>
      </w:r>
      <w:r w:rsidRPr="00F56B90">
        <w:tab/>
      </w:r>
      <w:r w:rsidRPr="00F56B90">
        <w:tab/>
      </w:r>
      <w:r w:rsidRPr="00F56B90">
        <w:tab/>
        <w:t>64 (13/year)</w:t>
      </w:r>
      <w:r w:rsidRPr="00F56B90">
        <w:tab/>
      </w:r>
      <w:r w:rsidRPr="00F56B90">
        <w:tab/>
      </w:r>
      <w:r w:rsidRPr="00F56B90">
        <w:tab/>
      </w:r>
      <w:r w:rsidRPr="00F56B90">
        <w:tab/>
      </w:r>
    </w:p>
    <w:p w:rsidR="00FE3460" w:rsidRPr="00F56B90" w:rsidRDefault="00FE3460" w:rsidP="004B7ECC">
      <w:pPr>
        <w:ind w:right="-720"/>
      </w:pPr>
      <w:r w:rsidRPr="00F56B90">
        <w:t>Total Active Projects:</w:t>
      </w:r>
      <w:r w:rsidRPr="00F56B90">
        <w:tab/>
      </w:r>
      <w:r w:rsidRPr="00F56B90">
        <w:tab/>
      </w:r>
      <w:r w:rsidRPr="00F56B90">
        <w:tab/>
      </w:r>
      <w:r w:rsidRPr="00F56B90">
        <w:tab/>
      </w:r>
      <w:r w:rsidRPr="00F56B90">
        <w:tab/>
      </w:r>
      <w:r w:rsidRPr="00F56B90">
        <w:tab/>
      </w:r>
      <w:r w:rsidRPr="00F56B90">
        <w:tab/>
        <w:t>38</w:t>
      </w:r>
    </w:p>
    <w:p w:rsidR="00FE3460" w:rsidRPr="00F56B90" w:rsidRDefault="00FE3460" w:rsidP="004B7ECC">
      <w:pPr>
        <w:ind w:right="-720"/>
      </w:pPr>
      <w:r w:rsidRPr="00F56B90">
        <w:t>Total Net Incentives Authorized:</w:t>
      </w:r>
      <w:r w:rsidRPr="00F56B90">
        <w:tab/>
      </w:r>
      <w:r w:rsidRPr="00F56B90">
        <w:tab/>
      </w:r>
      <w:r w:rsidRPr="00F56B90">
        <w:tab/>
      </w:r>
      <w:r w:rsidRPr="00F56B90">
        <w:tab/>
      </w:r>
      <w:r w:rsidRPr="00F56B90">
        <w:tab/>
        <w:t xml:space="preserve">$29.2 million  </w:t>
      </w:r>
    </w:p>
    <w:p w:rsidR="00F56B90" w:rsidRPr="00F56B90" w:rsidRDefault="00FE3460" w:rsidP="004B7ECC">
      <w:pPr>
        <w:ind w:right="-720" w:firstLine="720"/>
      </w:pPr>
      <w:r w:rsidRPr="00F56B90">
        <w:t>Earn</w:t>
      </w:r>
      <w:r w:rsidR="00F56B90" w:rsidRPr="00F56B90">
        <w:t>ing</w:t>
      </w:r>
      <w:r w:rsidRPr="00F56B90">
        <w:t xml:space="preserve"> Period 2007-2016:</w:t>
      </w:r>
      <w:r w:rsidRPr="00F56B90">
        <w:tab/>
      </w:r>
      <w:r w:rsidRPr="00F56B90">
        <w:tab/>
      </w:r>
      <w:r w:rsidRPr="00F56B90">
        <w:tab/>
      </w:r>
      <w:r w:rsidRPr="00F56B90">
        <w:tab/>
      </w:r>
      <w:r w:rsidRPr="00F56B90">
        <w:tab/>
      </w:r>
      <w:r w:rsidR="004B7ECC">
        <w:tab/>
      </w:r>
      <w:r w:rsidRPr="00F56B90">
        <w:t>Average $2.9 million/Year</w:t>
      </w:r>
      <w:r w:rsidRPr="00F56B90">
        <w:tab/>
      </w:r>
      <w:r w:rsidRPr="00F56B90">
        <w:tab/>
      </w:r>
    </w:p>
    <w:p w:rsidR="00FE3460" w:rsidRPr="00F56B90" w:rsidRDefault="00FE3460" w:rsidP="004B7ECC">
      <w:pPr>
        <w:ind w:right="-720" w:firstLine="720"/>
      </w:pPr>
      <w:r w:rsidRPr="00F56B90">
        <w:t>Payout Period 2008-2020:</w:t>
      </w:r>
      <w:r w:rsidRPr="00F56B90">
        <w:tab/>
      </w:r>
      <w:r w:rsidRPr="00F56B90">
        <w:tab/>
      </w:r>
      <w:r w:rsidRPr="00F56B90">
        <w:tab/>
      </w:r>
      <w:r w:rsidRPr="00F56B90">
        <w:tab/>
      </w:r>
      <w:r w:rsidRPr="00F56B90">
        <w:tab/>
      </w:r>
      <w:r w:rsidR="004B7ECC">
        <w:tab/>
      </w:r>
      <w:r w:rsidRPr="00F56B90">
        <w:t>Average $2.2 million/Year</w:t>
      </w:r>
    </w:p>
    <w:p w:rsidR="00FE3460" w:rsidRPr="00F56B90" w:rsidRDefault="00FE3460" w:rsidP="00FE3460">
      <w:pPr>
        <w:ind w:left="-720" w:right="-720" w:firstLine="720"/>
      </w:pPr>
    </w:p>
    <w:p w:rsidR="00FE3460" w:rsidRPr="00F56B90" w:rsidRDefault="00F56B90" w:rsidP="00FE3460">
      <w:pPr>
        <w:ind w:left="-720" w:right="-720"/>
        <w:jc w:val="center"/>
        <w:rPr>
          <w:b/>
        </w:rPr>
      </w:pPr>
      <w:r>
        <w:rPr>
          <w:b/>
        </w:rPr>
        <w:t xml:space="preserve">ESTIMATED </w:t>
      </w:r>
      <w:r w:rsidR="00FE3460" w:rsidRPr="00F56B90">
        <w:rPr>
          <w:b/>
        </w:rPr>
        <w:t xml:space="preserve">DIRECT AND INDIRECT ECONOMIC ACTIVITY </w:t>
      </w:r>
      <w:r>
        <w:rPr>
          <w:b/>
        </w:rPr>
        <w:t>(AGGREGATED</w:t>
      </w:r>
      <w:r w:rsidRPr="00F56B90">
        <w:rPr>
          <w:b/>
        </w:rPr>
        <w:t xml:space="preserve"> </w:t>
      </w:r>
      <w:r w:rsidR="00FE3460" w:rsidRPr="00F56B90">
        <w:rPr>
          <w:b/>
        </w:rPr>
        <w:t>2007-2016</w:t>
      </w:r>
      <w:r>
        <w:rPr>
          <w:b/>
        </w:rPr>
        <w:t>)</w:t>
      </w:r>
    </w:p>
    <w:p w:rsidR="00FE3460" w:rsidRPr="00F56B90" w:rsidRDefault="00FE3460" w:rsidP="004B7ECC">
      <w:pPr>
        <w:ind w:right="-720"/>
      </w:pPr>
      <w:r w:rsidRPr="00F56B90">
        <w:t>Total Full-time Job Creation (Direct and Indirect):</w:t>
      </w:r>
      <w:r w:rsidRPr="00F56B90">
        <w:tab/>
      </w:r>
      <w:r w:rsidRPr="00F56B90">
        <w:tab/>
      </w:r>
      <w:r w:rsidRPr="00F56B90">
        <w:tab/>
        <w:t xml:space="preserve"> 6,377</w:t>
      </w:r>
    </w:p>
    <w:p w:rsidR="00FE3460" w:rsidRPr="00F56B90" w:rsidRDefault="00FE3460" w:rsidP="004B7ECC">
      <w:pPr>
        <w:ind w:right="-720"/>
      </w:pPr>
      <w:r w:rsidRPr="00F56B90">
        <w:tab/>
        <w:t>New Qualifying FT Jobs</w:t>
      </w:r>
      <w:r w:rsidRPr="00F56B90">
        <w:tab/>
      </w:r>
      <w:r w:rsidRPr="00F56B90">
        <w:tab/>
      </w:r>
      <w:r w:rsidRPr="00F56B90">
        <w:tab/>
      </w:r>
      <w:r w:rsidRPr="00F56B90">
        <w:tab/>
      </w:r>
      <w:r w:rsidRPr="00F56B90">
        <w:tab/>
      </w:r>
      <w:r w:rsidRPr="00F56B90">
        <w:tab/>
        <w:t>(3,126)</w:t>
      </w:r>
    </w:p>
    <w:p w:rsidR="00FE3460" w:rsidRPr="00F56B90" w:rsidRDefault="00FE3460" w:rsidP="004B7ECC">
      <w:pPr>
        <w:ind w:right="-720"/>
      </w:pPr>
      <w:r w:rsidRPr="00F56B90">
        <w:tab/>
        <w:t>New Non-Qualifying FT Jobs</w:t>
      </w:r>
      <w:r w:rsidRPr="00F56B90">
        <w:tab/>
      </w:r>
      <w:r w:rsidRPr="00F56B90">
        <w:tab/>
      </w:r>
      <w:r w:rsidRPr="00F56B90">
        <w:tab/>
      </w:r>
      <w:r w:rsidRPr="00F56B90">
        <w:tab/>
      </w:r>
      <w:r w:rsidRPr="00F56B90">
        <w:tab/>
      </w:r>
      <w:r w:rsidRPr="00F56B90">
        <w:tab/>
        <w:t>(    214)</w:t>
      </w:r>
    </w:p>
    <w:p w:rsidR="00FE3460" w:rsidRPr="00F56B90" w:rsidRDefault="00FE3460" w:rsidP="004B7ECC">
      <w:pPr>
        <w:ind w:right="-720"/>
      </w:pPr>
      <w:r w:rsidRPr="00F56B90">
        <w:tab/>
        <w:t>New Indirect Jobs</w:t>
      </w:r>
      <w:r w:rsidRPr="00F56B90">
        <w:tab/>
      </w:r>
      <w:r w:rsidRPr="00F56B90">
        <w:tab/>
      </w:r>
      <w:r w:rsidRPr="00F56B90">
        <w:tab/>
      </w:r>
      <w:r w:rsidRPr="00F56B90">
        <w:tab/>
      </w:r>
      <w:r w:rsidRPr="00F56B90">
        <w:tab/>
      </w:r>
      <w:r w:rsidRPr="00F56B90">
        <w:tab/>
      </w:r>
      <w:r w:rsidRPr="00F56B90">
        <w:tab/>
        <w:t>(3,037)</w:t>
      </w:r>
    </w:p>
    <w:p w:rsidR="00FE3460" w:rsidRPr="00F56B90" w:rsidRDefault="00FE3460" w:rsidP="004B7ECC">
      <w:pPr>
        <w:ind w:right="-720"/>
      </w:pPr>
      <w:r w:rsidRPr="00F56B90">
        <w:t>Total Retained Full Time Jobs</w:t>
      </w:r>
      <w:r w:rsidRPr="00F56B90">
        <w:tab/>
      </w:r>
      <w:r w:rsidRPr="00F56B90">
        <w:tab/>
      </w:r>
      <w:r w:rsidRPr="00F56B90">
        <w:tab/>
      </w:r>
      <w:r w:rsidRPr="00F56B90">
        <w:tab/>
      </w:r>
      <w:r w:rsidRPr="00F56B90">
        <w:tab/>
        <w:t>3,469</w:t>
      </w:r>
    </w:p>
    <w:p w:rsidR="00FE3460" w:rsidRPr="00F56B90" w:rsidRDefault="00FE3460" w:rsidP="004B7ECC">
      <w:pPr>
        <w:ind w:right="-720"/>
      </w:pPr>
      <w:r w:rsidRPr="00F56B90">
        <w:t>Total Qualifying Full Time Payroll:</w:t>
      </w:r>
      <w:r w:rsidRPr="00F56B90">
        <w:tab/>
      </w:r>
      <w:r w:rsidRPr="00F56B90">
        <w:tab/>
      </w:r>
      <w:r w:rsidRPr="00F56B90">
        <w:tab/>
      </w:r>
      <w:r w:rsidRPr="00F56B90">
        <w:tab/>
      </w:r>
      <w:r w:rsidRPr="00F56B90">
        <w:tab/>
        <w:t>$146.3 million</w:t>
      </w:r>
    </w:p>
    <w:p w:rsidR="00FE3460" w:rsidRPr="00F56B90" w:rsidRDefault="00FE3460" w:rsidP="004B7ECC">
      <w:pPr>
        <w:ind w:right="-720"/>
      </w:pPr>
      <w:r w:rsidRPr="00F56B90">
        <w:t>Weighted Average Wage (Full time jobs)</w:t>
      </w:r>
      <w:r w:rsidRPr="00F56B90">
        <w:tab/>
      </w:r>
      <w:r w:rsidRPr="00F56B90">
        <w:tab/>
      </w:r>
      <w:r w:rsidRPr="00F56B90">
        <w:tab/>
      </w:r>
      <w:r w:rsidRPr="00F56B90">
        <w:tab/>
        <w:t>$46,407</w:t>
      </w:r>
    </w:p>
    <w:p w:rsidR="00FE3460" w:rsidRPr="00F56B90" w:rsidRDefault="00FE3460" w:rsidP="004B7ECC">
      <w:pPr>
        <w:ind w:right="-720"/>
      </w:pPr>
      <w:r w:rsidRPr="00F56B90">
        <w:t>Average Total Compensation (Full Time jobs)</w:t>
      </w:r>
      <w:r w:rsidRPr="00F56B90">
        <w:tab/>
      </w:r>
      <w:r w:rsidRPr="00F56B90">
        <w:tab/>
      </w:r>
      <w:r w:rsidRPr="00F56B90">
        <w:tab/>
        <w:t>$57,057</w:t>
      </w:r>
    </w:p>
    <w:p w:rsidR="00FE3460" w:rsidRPr="00F56B90" w:rsidRDefault="00FE3460" w:rsidP="004B7ECC">
      <w:pPr>
        <w:ind w:right="-720"/>
      </w:pPr>
      <w:r w:rsidRPr="00F56B90">
        <w:t>Average Health Care Premium Paid by Employer</w:t>
      </w:r>
      <w:r w:rsidRPr="00F56B90">
        <w:tab/>
      </w:r>
      <w:r w:rsidRPr="00F56B90">
        <w:tab/>
      </w:r>
      <w:r w:rsidRPr="00F56B90">
        <w:tab/>
        <w:t>75%</w:t>
      </w:r>
    </w:p>
    <w:p w:rsidR="00FE3460" w:rsidRPr="00F56B90" w:rsidRDefault="00FE3460" w:rsidP="004B7ECC">
      <w:pPr>
        <w:ind w:right="-720"/>
      </w:pPr>
      <w:r w:rsidRPr="00F56B90">
        <w:t>Total Qualifying Capital Investments</w:t>
      </w:r>
      <w:r w:rsidRPr="00F56B90">
        <w:tab/>
      </w:r>
      <w:r w:rsidRPr="00F56B90">
        <w:tab/>
      </w:r>
      <w:r w:rsidRPr="00F56B90">
        <w:tab/>
      </w:r>
      <w:r w:rsidRPr="00F56B90">
        <w:tab/>
      </w:r>
      <w:r w:rsidRPr="00F56B90">
        <w:tab/>
        <w:t>$462.8 million</w:t>
      </w:r>
    </w:p>
    <w:p w:rsidR="00FE3460" w:rsidRPr="00F56B90" w:rsidRDefault="00FE3460" w:rsidP="004B7ECC">
      <w:pPr>
        <w:ind w:right="-720"/>
      </w:pPr>
      <w:r w:rsidRPr="00F56B90">
        <w:t>Approximate Value of Vermont Biz-to-Biz Interaction</w:t>
      </w:r>
      <w:r w:rsidRPr="00F56B90">
        <w:tab/>
      </w:r>
      <w:r w:rsidRPr="00F56B90">
        <w:tab/>
        <w:t>$120.3 million/Year</w:t>
      </w:r>
    </w:p>
    <w:p w:rsidR="00FE3460" w:rsidRPr="00F56B90" w:rsidRDefault="00FE3460" w:rsidP="004B7ECC">
      <w:pPr>
        <w:ind w:right="-720"/>
        <w:rPr>
          <w:b/>
        </w:rPr>
      </w:pPr>
      <w:r w:rsidRPr="00F56B90">
        <w:rPr>
          <w:b/>
        </w:rPr>
        <w:t>Total Net Revenue Return to Vermont:</w:t>
      </w:r>
      <w:r w:rsidRPr="00F56B90">
        <w:rPr>
          <w:b/>
        </w:rPr>
        <w:tab/>
      </w:r>
      <w:r w:rsidRPr="00F56B90">
        <w:rPr>
          <w:b/>
        </w:rPr>
        <w:tab/>
      </w:r>
      <w:r w:rsidRPr="00F56B90">
        <w:rPr>
          <w:b/>
        </w:rPr>
        <w:tab/>
      </w:r>
      <w:r w:rsidRPr="00F56B90">
        <w:rPr>
          <w:b/>
        </w:rPr>
        <w:tab/>
        <w:t>$20.5 million</w:t>
      </w:r>
    </w:p>
    <w:p w:rsidR="00FE3460" w:rsidRPr="00F56B90" w:rsidRDefault="00FE3460" w:rsidP="004B7ECC">
      <w:pPr>
        <w:ind w:right="-720" w:firstLine="720"/>
      </w:pPr>
      <w:r w:rsidRPr="00F56B90">
        <w:t>Total Net New Revenue/Qualifying Job</w:t>
      </w:r>
      <w:r w:rsidRPr="00F56B90">
        <w:tab/>
      </w:r>
      <w:r w:rsidRPr="00F56B90">
        <w:tab/>
      </w:r>
      <w:r w:rsidRPr="00F56B90">
        <w:tab/>
      </w:r>
      <w:r w:rsidRPr="00F56B90">
        <w:tab/>
        <w:t>$6,558 per job*</w:t>
      </w:r>
    </w:p>
    <w:p w:rsidR="00FE3460" w:rsidRPr="00F56B90" w:rsidRDefault="00FE3460" w:rsidP="00FE3460">
      <w:pPr>
        <w:ind w:left="-720" w:right="-720"/>
        <w:rPr>
          <w:b/>
        </w:rPr>
      </w:pPr>
      <w:r w:rsidRPr="00F56B90">
        <w:tab/>
      </w:r>
      <w:r w:rsidRPr="00F56B90">
        <w:tab/>
      </w:r>
      <w:r w:rsidRPr="00F56B90">
        <w:tab/>
      </w:r>
      <w:r w:rsidRPr="00F56B90">
        <w:tab/>
      </w:r>
      <w:r w:rsidRPr="00F56B90">
        <w:tab/>
      </w:r>
      <w:r w:rsidRPr="00F56B90">
        <w:tab/>
      </w:r>
    </w:p>
    <w:p w:rsidR="00FE3460" w:rsidRPr="00F56B90" w:rsidRDefault="00FE3460" w:rsidP="00FE3460">
      <w:pPr>
        <w:ind w:left="-720" w:right="-720"/>
        <w:jc w:val="center"/>
        <w:rPr>
          <w:b/>
        </w:rPr>
      </w:pPr>
      <w:r w:rsidRPr="00F56B90">
        <w:rPr>
          <w:b/>
        </w:rPr>
        <w:t xml:space="preserve">PROJECTED/ACTUAL ECONOMIC ACTIVITY </w:t>
      </w:r>
      <w:r w:rsidR="00F56B90">
        <w:rPr>
          <w:b/>
        </w:rPr>
        <w:t xml:space="preserve">(AGGREGATED </w:t>
      </w:r>
      <w:r w:rsidRPr="00F56B90">
        <w:rPr>
          <w:b/>
        </w:rPr>
        <w:t>2007-2009</w:t>
      </w:r>
      <w:r w:rsidR="00F56B90">
        <w:rPr>
          <w:b/>
        </w:rPr>
        <w:t>)</w:t>
      </w:r>
    </w:p>
    <w:p w:rsidR="00FE3460" w:rsidRPr="00F56B90" w:rsidRDefault="00FE3460" w:rsidP="00FE3460">
      <w:pPr>
        <w:ind w:left="-720" w:right="-720"/>
      </w:pPr>
      <w:r w:rsidRPr="00F56B90">
        <w:tab/>
      </w:r>
      <w:r w:rsidRPr="00F56B90">
        <w:tab/>
      </w:r>
      <w:r w:rsidRPr="00F56B90">
        <w:tab/>
      </w:r>
      <w:r w:rsidRPr="00F56B90">
        <w:tab/>
      </w:r>
      <w:r w:rsidRPr="00F56B90">
        <w:tab/>
      </w:r>
      <w:r w:rsidRPr="00F56B90">
        <w:tab/>
      </w:r>
      <w:r w:rsidRPr="00F56B90">
        <w:tab/>
      </w:r>
      <w:r w:rsidRPr="00F56B90">
        <w:tab/>
      </w:r>
      <w:r w:rsidRPr="00F56B90">
        <w:rPr>
          <w:b/>
          <w:u w:val="single"/>
        </w:rPr>
        <w:t>PROJECTED</w:t>
      </w:r>
      <w:r w:rsidRPr="00F56B90">
        <w:tab/>
      </w:r>
      <w:r w:rsidRPr="00F56B90">
        <w:tab/>
      </w:r>
      <w:r w:rsidRPr="00F56B90">
        <w:rPr>
          <w:b/>
          <w:u w:val="single"/>
        </w:rPr>
        <w:t>ACTUAL</w:t>
      </w:r>
    </w:p>
    <w:p w:rsidR="00FE3460" w:rsidRPr="00F56B90" w:rsidRDefault="00FE3460" w:rsidP="004B7ECC">
      <w:pPr>
        <w:ind w:right="-720"/>
      </w:pPr>
      <w:r w:rsidRPr="00F56B90">
        <w:t>New Qualifying Jobs</w:t>
      </w:r>
      <w:r w:rsidRPr="00F56B90">
        <w:tab/>
      </w:r>
      <w:r w:rsidRPr="00F56B90">
        <w:tab/>
      </w:r>
      <w:r w:rsidRPr="00F56B90">
        <w:tab/>
      </w:r>
      <w:r w:rsidRPr="00F56B90">
        <w:tab/>
      </w:r>
      <w:r w:rsidRPr="00F56B90">
        <w:tab/>
      </w:r>
      <w:r w:rsidR="00F56B90">
        <w:tab/>
      </w:r>
      <w:r w:rsidRPr="00F56B90">
        <w:t>554</w:t>
      </w:r>
      <w:r w:rsidRPr="00F56B90">
        <w:tab/>
      </w:r>
      <w:r w:rsidRPr="00F56B90">
        <w:tab/>
      </w:r>
      <w:r w:rsidRPr="00F56B90">
        <w:tab/>
      </w:r>
      <w:r w:rsidR="00F56B90">
        <w:tab/>
      </w:r>
      <w:r w:rsidRPr="00F56B90">
        <w:t>726</w:t>
      </w:r>
    </w:p>
    <w:p w:rsidR="00FE3460" w:rsidRPr="00F56B90" w:rsidRDefault="00FE3460" w:rsidP="004B7ECC">
      <w:pPr>
        <w:ind w:right="-720"/>
      </w:pPr>
      <w:r w:rsidRPr="00F56B90">
        <w:t>New Qualifying Payroll</w:t>
      </w:r>
      <w:r w:rsidRPr="00F56B90">
        <w:tab/>
      </w:r>
      <w:r w:rsidRPr="00F56B90">
        <w:tab/>
      </w:r>
      <w:r w:rsidRPr="00F56B90">
        <w:tab/>
      </w:r>
      <w:r w:rsidRPr="00F56B90">
        <w:tab/>
      </w:r>
      <w:r w:rsidRPr="00F56B90">
        <w:tab/>
        <w:t>$22.1 million</w:t>
      </w:r>
      <w:r w:rsidRPr="00F56B90">
        <w:tab/>
      </w:r>
      <w:r w:rsidR="00F56B90">
        <w:tab/>
      </w:r>
      <w:r w:rsidR="00F56B90">
        <w:tab/>
      </w:r>
      <w:r w:rsidRPr="00F56B90">
        <w:t>$30.7 million</w:t>
      </w:r>
    </w:p>
    <w:p w:rsidR="00FE3460" w:rsidRPr="00F56B90" w:rsidRDefault="00FE3460" w:rsidP="004B7ECC">
      <w:pPr>
        <w:ind w:right="-720"/>
      </w:pPr>
      <w:r w:rsidRPr="00F56B90">
        <w:t>New Capital Investments</w:t>
      </w:r>
      <w:r w:rsidRPr="00F56B90">
        <w:tab/>
      </w:r>
      <w:r w:rsidRPr="00F56B90">
        <w:tab/>
      </w:r>
      <w:r w:rsidRPr="00F56B90">
        <w:tab/>
      </w:r>
      <w:r w:rsidRPr="00F56B90">
        <w:tab/>
      </w:r>
      <w:r w:rsidRPr="00F56B90">
        <w:tab/>
        <w:t>$51.3 million</w:t>
      </w:r>
      <w:r w:rsidRPr="00F56B90">
        <w:tab/>
      </w:r>
      <w:r w:rsidR="00F56B90">
        <w:tab/>
      </w:r>
      <w:r w:rsidR="00F56B90">
        <w:tab/>
      </w:r>
      <w:r w:rsidRPr="00F56B90">
        <w:t>$61.8 million</w:t>
      </w:r>
    </w:p>
    <w:p w:rsidR="00FE3460" w:rsidRPr="00F56B90" w:rsidRDefault="00FE3460" w:rsidP="004B7ECC">
      <w:pPr>
        <w:ind w:right="-720"/>
      </w:pPr>
      <w:r w:rsidRPr="00F56B90">
        <w:t>Net Incentive Installments Paid:</w:t>
      </w:r>
      <w:r w:rsidRPr="00F56B90">
        <w:tab/>
      </w:r>
      <w:r w:rsidRPr="00F56B90">
        <w:tab/>
      </w:r>
      <w:r w:rsidRPr="00F56B90">
        <w:tab/>
      </w:r>
      <w:r w:rsidR="00F56B90">
        <w:tab/>
      </w:r>
      <w:r w:rsidRPr="00F56B90">
        <w:t>$751,660</w:t>
      </w:r>
      <w:r w:rsidRPr="00F56B90">
        <w:tab/>
      </w:r>
      <w:r w:rsidRPr="00F56B90">
        <w:tab/>
      </w:r>
      <w:r w:rsidR="00F56B90">
        <w:tab/>
      </w:r>
      <w:r w:rsidRPr="00F56B90">
        <w:t>$652,596</w:t>
      </w:r>
    </w:p>
    <w:p w:rsidR="00FE3460" w:rsidRPr="00F56B90" w:rsidRDefault="00FE3460" w:rsidP="004B7ECC">
      <w:pPr>
        <w:ind w:right="-720"/>
        <w:rPr>
          <w:b/>
        </w:rPr>
      </w:pPr>
      <w:r w:rsidRPr="00F56B90">
        <w:rPr>
          <w:b/>
        </w:rPr>
        <w:t>Net Revenue Return to Vermont</w:t>
      </w:r>
      <w:r w:rsidRPr="00F56B90">
        <w:rPr>
          <w:b/>
        </w:rPr>
        <w:tab/>
      </w:r>
      <w:r w:rsidRPr="00F56B90">
        <w:rPr>
          <w:b/>
        </w:rPr>
        <w:tab/>
      </w:r>
      <w:r w:rsidRPr="00F56B90">
        <w:rPr>
          <w:b/>
        </w:rPr>
        <w:tab/>
      </w:r>
      <w:r w:rsidR="00F56B90">
        <w:rPr>
          <w:b/>
        </w:rPr>
        <w:tab/>
      </w:r>
      <w:r w:rsidRPr="00F56B90">
        <w:rPr>
          <w:b/>
        </w:rPr>
        <w:t>$1.454 million</w:t>
      </w:r>
      <w:r w:rsidRPr="00F56B90">
        <w:rPr>
          <w:b/>
        </w:rPr>
        <w:tab/>
      </w:r>
      <w:r w:rsidR="00F56B90">
        <w:rPr>
          <w:b/>
        </w:rPr>
        <w:tab/>
      </w:r>
      <w:r w:rsidRPr="00F56B90">
        <w:rPr>
          <w:b/>
        </w:rPr>
        <w:t xml:space="preserve">$2.937 million </w:t>
      </w:r>
    </w:p>
    <w:p w:rsidR="00FE3460" w:rsidRPr="00F56B90" w:rsidRDefault="00FE3460" w:rsidP="004B7ECC">
      <w:pPr>
        <w:ind w:right="-720"/>
        <w:rPr>
          <w:b/>
        </w:rPr>
      </w:pPr>
      <w:r w:rsidRPr="00F56B90">
        <w:rPr>
          <w:b/>
        </w:rPr>
        <w:tab/>
      </w:r>
      <w:r w:rsidRPr="00F56B90">
        <w:t>Net New Revenue/New Qualifying Job</w:t>
      </w:r>
      <w:r w:rsidRPr="00F56B90">
        <w:tab/>
      </w:r>
      <w:r w:rsidR="00F56B90">
        <w:tab/>
      </w:r>
      <w:r w:rsidR="00F56B90">
        <w:tab/>
      </w:r>
      <w:r w:rsidRPr="00F56B90">
        <w:t>$2,625</w:t>
      </w:r>
      <w:r w:rsidRPr="00F56B90">
        <w:tab/>
      </w:r>
      <w:r w:rsidRPr="00F56B90">
        <w:tab/>
      </w:r>
      <w:r w:rsidR="00F56B90">
        <w:tab/>
      </w:r>
      <w:r w:rsidR="00F56B90">
        <w:tab/>
      </w:r>
      <w:r w:rsidRPr="00F56B90">
        <w:t>$4,045 *</w:t>
      </w:r>
    </w:p>
    <w:p w:rsidR="00FE3460" w:rsidRPr="00F56B90" w:rsidRDefault="00FE3460" w:rsidP="004B7ECC">
      <w:pPr>
        <w:ind w:right="-720"/>
        <w:rPr>
          <w:b/>
          <w:i/>
        </w:rPr>
      </w:pPr>
      <w:r w:rsidRPr="00F56B90">
        <w:rPr>
          <w:b/>
          <w:i/>
        </w:rPr>
        <w:t>*Note: These figures do not represent a cost per job. They show the net new tax revenue generated to Vermont per new qualifying job created.</w:t>
      </w:r>
    </w:p>
    <w:p w:rsidR="00252474" w:rsidRDefault="00252474" w:rsidP="009B04EB">
      <w:pPr>
        <w:rPr>
          <w:b/>
        </w:rPr>
      </w:pPr>
    </w:p>
    <w:p w:rsidR="00252474" w:rsidRDefault="00252474" w:rsidP="00252474">
      <w:pPr>
        <w:rPr>
          <w:color w:val="000000"/>
        </w:rPr>
      </w:pPr>
      <w:r>
        <w:rPr>
          <w:b/>
        </w:rPr>
        <w:t>Vermont Training Program</w:t>
      </w:r>
      <w:r w:rsidRPr="009B04EB">
        <w:rPr>
          <w:b/>
        </w:rPr>
        <w:t xml:space="preserve"> (VTP)</w:t>
      </w:r>
      <w:r w:rsidR="004B7ECC">
        <w:rPr>
          <w:b/>
        </w:rPr>
        <w:t xml:space="preserve"> </w:t>
      </w:r>
      <w:r w:rsidRPr="003D4EA0">
        <w:t xml:space="preserve">promotes industrial expansion and encourages the creation and retention of jobs in </w:t>
      </w:r>
      <w:r>
        <w:t xml:space="preserve">Manufacturing, Information Technology, Healthcare, Telecommunications and Environmental Engineering by providing training funds for new and existing businesses thereby increasing the skills of the Vermont workforce, wages and Vermont’s standard of living. </w:t>
      </w:r>
      <w:r w:rsidR="004B7ECC">
        <w:t xml:space="preserve"> The </w:t>
      </w:r>
      <w:r>
        <w:rPr>
          <w:color w:val="000000"/>
        </w:rPr>
        <w:t>two primary goals for the Vermont Training Program are helping with training for new jobs and job retention.</w:t>
      </w:r>
      <w:r w:rsidR="004B7ECC">
        <w:rPr>
          <w:color w:val="000000"/>
        </w:rPr>
        <w:t xml:space="preserve"> T</w:t>
      </w:r>
      <w:r>
        <w:rPr>
          <w:color w:val="000000"/>
        </w:rPr>
        <w:t>he reported data below is from the Vermont Training Program Annual Reports.</w:t>
      </w:r>
    </w:p>
    <w:p w:rsidR="00252474" w:rsidRDefault="00252474" w:rsidP="00252474">
      <w:pPr>
        <w:rPr>
          <w:color w:val="000000"/>
        </w:rPr>
      </w:pPr>
    </w:p>
    <w:tbl>
      <w:tblPr>
        <w:tblW w:w="10112" w:type="dxa"/>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18"/>
        <w:gridCol w:w="2376"/>
        <w:gridCol w:w="1690"/>
        <w:gridCol w:w="2228"/>
        <w:gridCol w:w="2700"/>
      </w:tblGrid>
      <w:tr w:rsidR="00252474" w:rsidRPr="00D146A5" w:rsidTr="004B7ECC">
        <w:trPr>
          <w:trHeight w:val="602"/>
        </w:trPr>
        <w:tc>
          <w:tcPr>
            <w:tcW w:w="1118" w:type="dxa"/>
            <w:shd w:val="clear" w:color="auto" w:fill="auto"/>
            <w:tcMar>
              <w:top w:w="72" w:type="dxa"/>
              <w:left w:w="144" w:type="dxa"/>
              <w:bottom w:w="72" w:type="dxa"/>
              <w:right w:w="144" w:type="dxa"/>
            </w:tcMar>
            <w:hideMark/>
          </w:tcPr>
          <w:p w:rsidR="00252474" w:rsidRPr="00AC671D" w:rsidRDefault="00252474" w:rsidP="00D2291C">
            <w:r w:rsidRPr="00511646">
              <w:rPr>
                <w:b/>
                <w:bCs/>
              </w:rPr>
              <w:t>Year</w:t>
            </w:r>
          </w:p>
        </w:tc>
        <w:tc>
          <w:tcPr>
            <w:tcW w:w="2376" w:type="dxa"/>
            <w:shd w:val="clear" w:color="auto" w:fill="auto"/>
            <w:tcMar>
              <w:top w:w="72" w:type="dxa"/>
              <w:left w:w="144" w:type="dxa"/>
              <w:bottom w:w="72" w:type="dxa"/>
              <w:right w:w="144" w:type="dxa"/>
            </w:tcMar>
            <w:hideMark/>
          </w:tcPr>
          <w:p w:rsidR="00252474" w:rsidRDefault="00252474" w:rsidP="00D2291C">
            <w:pPr>
              <w:jc w:val="center"/>
              <w:rPr>
                <w:b/>
                <w:bCs/>
              </w:rPr>
            </w:pPr>
            <w:r w:rsidRPr="00511646">
              <w:rPr>
                <w:b/>
                <w:bCs/>
              </w:rPr>
              <w:t>Trainee</w:t>
            </w:r>
            <w:r>
              <w:rPr>
                <w:b/>
                <w:bCs/>
              </w:rPr>
              <w:t>s</w:t>
            </w:r>
          </w:p>
          <w:p w:rsidR="00252474" w:rsidRPr="00511646" w:rsidRDefault="00252474" w:rsidP="00D2291C">
            <w:pPr>
              <w:jc w:val="center"/>
            </w:pPr>
            <w:r w:rsidRPr="00511646">
              <w:rPr>
                <w:b/>
                <w:bCs/>
              </w:rPr>
              <w:t>Served</w:t>
            </w:r>
          </w:p>
        </w:tc>
        <w:tc>
          <w:tcPr>
            <w:tcW w:w="1690" w:type="dxa"/>
            <w:shd w:val="clear" w:color="auto" w:fill="auto"/>
            <w:tcMar>
              <w:top w:w="72" w:type="dxa"/>
              <w:left w:w="144" w:type="dxa"/>
              <w:bottom w:w="72" w:type="dxa"/>
              <w:right w:w="144" w:type="dxa"/>
            </w:tcMar>
            <w:hideMark/>
          </w:tcPr>
          <w:p w:rsidR="00252474" w:rsidRPr="00511646" w:rsidRDefault="00252474" w:rsidP="00D2291C">
            <w:pPr>
              <w:jc w:val="center"/>
            </w:pPr>
            <w:r>
              <w:rPr>
                <w:b/>
                <w:bCs/>
              </w:rPr>
              <w:t xml:space="preserve">Completed </w:t>
            </w:r>
            <w:r w:rsidRPr="00511646">
              <w:rPr>
                <w:b/>
                <w:bCs/>
              </w:rPr>
              <w:t>Contracts</w:t>
            </w:r>
          </w:p>
        </w:tc>
        <w:tc>
          <w:tcPr>
            <w:tcW w:w="2228" w:type="dxa"/>
            <w:shd w:val="clear" w:color="auto" w:fill="auto"/>
            <w:tcMar>
              <w:top w:w="72" w:type="dxa"/>
              <w:left w:w="144" w:type="dxa"/>
              <w:bottom w:w="72" w:type="dxa"/>
              <w:right w:w="144" w:type="dxa"/>
            </w:tcMar>
            <w:hideMark/>
          </w:tcPr>
          <w:p w:rsidR="00252474" w:rsidRPr="00511646" w:rsidRDefault="00252474" w:rsidP="00D2291C">
            <w:pPr>
              <w:jc w:val="center"/>
            </w:pPr>
            <w:r w:rsidRPr="00511646">
              <w:rPr>
                <w:b/>
                <w:bCs/>
              </w:rPr>
              <w:t>Expenditures</w:t>
            </w:r>
          </w:p>
        </w:tc>
        <w:tc>
          <w:tcPr>
            <w:tcW w:w="2700" w:type="dxa"/>
            <w:shd w:val="clear" w:color="auto" w:fill="auto"/>
            <w:tcMar>
              <w:top w:w="72" w:type="dxa"/>
              <w:left w:w="144" w:type="dxa"/>
              <w:bottom w:w="72" w:type="dxa"/>
              <w:right w:w="144" w:type="dxa"/>
            </w:tcMar>
            <w:hideMark/>
          </w:tcPr>
          <w:p w:rsidR="00252474" w:rsidRDefault="00252474" w:rsidP="00D2291C">
            <w:pPr>
              <w:jc w:val="center"/>
              <w:rPr>
                <w:b/>
                <w:bCs/>
              </w:rPr>
            </w:pPr>
            <w:r w:rsidRPr="00511646">
              <w:rPr>
                <w:b/>
                <w:bCs/>
              </w:rPr>
              <w:t>Cost Per</w:t>
            </w:r>
            <w:r>
              <w:rPr>
                <w:b/>
                <w:bCs/>
              </w:rPr>
              <w:t xml:space="preserve"> </w:t>
            </w:r>
          </w:p>
          <w:p w:rsidR="00252474" w:rsidRPr="00D146A5" w:rsidRDefault="00252474" w:rsidP="004B7ECC">
            <w:pPr>
              <w:jc w:val="center"/>
              <w:rPr>
                <w:b/>
                <w:bCs/>
              </w:rPr>
            </w:pPr>
            <w:r>
              <w:rPr>
                <w:b/>
                <w:bCs/>
              </w:rPr>
              <w:t>Trainee</w:t>
            </w:r>
          </w:p>
        </w:tc>
      </w:tr>
      <w:tr w:rsidR="00333406" w:rsidRPr="00511646" w:rsidTr="00D2291C">
        <w:trPr>
          <w:trHeight w:val="323"/>
        </w:trPr>
        <w:tc>
          <w:tcPr>
            <w:tcW w:w="1118" w:type="dxa"/>
            <w:shd w:val="clear" w:color="auto" w:fill="auto"/>
            <w:tcMar>
              <w:top w:w="72" w:type="dxa"/>
              <w:left w:w="144" w:type="dxa"/>
              <w:bottom w:w="72" w:type="dxa"/>
              <w:right w:w="144" w:type="dxa"/>
            </w:tcMar>
            <w:hideMark/>
          </w:tcPr>
          <w:p w:rsidR="00333406" w:rsidRDefault="00333406" w:rsidP="00D2291C">
            <w:r>
              <w:t>FY’13</w:t>
            </w:r>
          </w:p>
          <w:p w:rsidR="00333406" w:rsidRPr="00333406" w:rsidRDefault="00333406" w:rsidP="00D2291C">
            <w:pPr>
              <w:rPr>
                <w:sz w:val="20"/>
                <w:szCs w:val="20"/>
              </w:rPr>
            </w:pPr>
            <w:r w:rsidRPr="00333406">
              <w:rPr>
                <w:sz w:val="20"/>
                <w:szCs w:val="20"/>
              </w:rPr>
              <w:t>Estimated</w:t>
            </w:r>
          </w:p>
        </w:tc>
        <w:tc>
          <w:tcPr>
            <w:tcW w:w="2376" w:type="dxa"/>
            <w:shd w:val="clear" w:color="auto" w:fill="auto"/>
            <w:tcMar>
              <w:top w:w="72" w:type="dxa"/>
              <w:left w:w="144" w:type="dxa"/>
              <w:bottom w:w="72" w:type="dxa"/>
              <w:right w:w="144" w:type="dxa"/>
            </w:tcMar>
            <w:hideMark/>
          </w:tcPr>
          <w:p w:rsidR="00333406" w:rsidRDefault="00333406" w:rsidP="00D2291C">
            <w:pPr>
              <w:jc w:val="center"/>
            </w:pPr>
            <w:r>
              <w:t>3,000</w:t>
            </w:r>
          </w:p>
        </w:tc>
        <w:tc>
          <w:tcPr>
            <w:tcW w:w="1690" w:type="dxa"/>
            <w:shd w:val="clear" w:color="auto" w:fill="auto"/>
            <w:tcMar>
              <w:top w:w="72" w:type="dxa"/>
              <w:left w:w="144" w:type="dxa"/>
              <w:bottom w:w="72" w:type="dxa"/>
              <w:right w:w="144" w:type="dxa"/>
            </w:tcMar>
            <w:hideMark/>
          </w:tcPr>
          <w:p w:rsidR="00333406" w:rsidRDefault="00333406" w:rsidP="00D2291C">
            <w:pPr>
              <w:jc w:val="center"/>
            </w:pPr>
            <w:r>
              <w:t>50</w:t>
            </w:r>
          </w:p>
        </w:tc>
        <w:tc>
          <w:tcPr>
            <w:tcW w:w="2228" w:type="dxa"/>
            <w:shd w:val="clear" w:color="auto" w:fill="auto"/>
            <w:tcMar>
              <w:top w:w="72" w:type="dxa"/>
              <w:left w:w="144" w:type="dxa"/>
              <w:bottom w:w="72" w:type="dxa"/>
              <w:right w:w="144" w:type="dxa"/>
            </w:tcMar>
            <w:hideMark/>
          </w:tcPr>
          <w:p w:rsidR="00333406" w:rsidRDefault="00333406" w:rsidP="00D2291C">
            <w:pPr>
              <w:jc w:val="center"/>
            </w:pPr>
            <w:r>
              <w:t>$1,200,000.00</w:t>
            </w:r>
          </w:p>
        </w:tc>
        <w:tc>
          <w:tcPr>
            <w:tcW w:w="2700" w:type="dxa"/>
            <w:shd w:val="clear" w:color="auto" w:fill="auto"/>
            <w:tcMar>
              <w:top w:w="72" w:type="dxa"/>
              <w:left w:w="144" w:type="dxa"/>
              <w:bottom w:w="72" w:type="dxa"/>
              <w:right w:w="144" w:type="dxa"/>
            </w:tcMar>
            <w:hideMark/>
          </w:tcPr>
          <w:p w:rsidR="00333406" w:rsidRDefault="00333406" w:rsidP="00D2291C">
            <w:pPr>
              <w:jc w:val="center"/>
            </w:pPr>
            <w:r>
              <w:t>$500.00</w:t>
            </w:r>
          </w:p>
        </w:tc>
      </w:tr>
      <w:tr w:rsidR="00333406" w:rsidRPr="00511646" w:rsidTr="00D2291C">
        <w:trPr>
          <w:trHeight w:val="323"/>
        </w:trPr>
        <w:tc>
          <w:tcPr>
            <w:tcW w:w="1118" w:type="dxa"/>
            <w:shd w:val="clear" w:color="auto" w:fill="auto"/>
            <w:tcMar>
              <w:top w:w="72" w:type="dxa"/>
              <w:left w:w="144" w:type="dxa"/>
              <w:bottom w:w="72" w:type="dxa"/>
              <w:right w:w="144" w:type="dxa"/>
            </w:tcMar>
            <w:hideMark/>
          </w:tcPr>
          <w:p w:rsidR="00333406" w:rsidRDefault="00333406" w:rsidP="00D2291C">
            <w:r>
              <w:t>FY’12</w:t>
            </w:r>
          </w:p>
          <w:p w:rsidR="00333406" w:rsidRPr="00333406" w:rsidRDefault="00333406" w:rsidP="00D2291C">
            <w:pPr>
              <w:rPr>
                <w:sz w:val="20"/>
                <w:szCs w:val="20"/>
              </w:rPr>
            </w:pPr>
            <w:r w:rsidRPr="00333406">
              <w:rPr>
                <w:sz w:val="20"/>
                <w:szCs w:val="20"/>
              </w:rPr>
              <w:t>Estimated</w:t>
            </w:r>
          </w:p>
        </w:tc>
        <w:tc>
          <w:tcPr>
            <w:tcW w:w="2376" w:type="dxa"/>
            <w:shd w:val="clear" w:color="auto" w:fill="auto"/>
            <w:tcMar>
              <w:top w:w="72" w:type="dxa"/>
              <w:left w:w="144" w:type="dxa"/>
              <w:bottom w:w="72" w:type="dxa"/>
              <w:right w:w="144" w:type="dxa"/>
            </w:tcMar>
            <w:hideMark/>
          </w:tcPr>
          <w:p w:rsidR="00333406" w:rsidRDefault="00333406" w:rsidP="00D2291C">
            <w:pPr>
              <w:jc w:val="center"/>
            </w:pPr>
            <w:r>
              <w:t>3,000</w:t>
            </w:r>
          </w:p>
        </w:tc>
        <w:tc>
          <w:tcPr>
            <w:tcW w:w="1690" w:type="dxa"/>
            <w:shd w:val="clear" w:color="auto" w:fill="auto"/>
            <w:tcMar>
              <w:top w:w="72" w:type="dxa"/>
              <w:left w:w="144" w:type="dxa"/>
              <w:bottom w:w="72" w:type="dxa"/>
              <w:right w:w="144" w:type="dxa"/>
            </w:tcMar>
            <w:hideMark/>
          </w:tcPr>
          <w:p w:rsidR="00333406" w:rsidRDefault="00333406" w:rsidP="00D2291C">
            <w:pPr>
              <w:jc w:val="center"/>
            </w:pPr>
            <w:r>
              <w:t>50</w:t>
            </w:r>
          </w:p>
        </w:tc>
        <w:tc>
          <w:tcPr>
            <w:tcW w:w="2228" w:type="dxa"/>
            <w:shd w:val="clear" w:color="auto" w:fill="auto"/>
            <w:tcMar>
              <w:top w:w="72" w:type="dxa"/>
              <w:left w:w="144" w:type="dxa"/>
              <w:bottom w:w="72" w:type="dxa"/>
              <w:right w:w="144" w:type="dxa"/>
            </w:tcMar>
            <w:hideMark/>
          </w:tcPr>
          <w:p w:rsidR="00333406" w:rsidRDefault="00333406" w:rsidP="00333406">
            <w:r>
              <w:t xml:space="preserve">    $1,200,000.00</w:t>
            </w:r>
          </w:p>
        </w:tc>
        <w:tc>
          <w:tcPr>
            <w:tcW w:w="2700" w:type="dxa"/>
            <w:shd w:val="clear" w:color="auto" w:fill="auto"/>
            <w:tcMar>
              <w:top w:w="72" w:type="dxa"/>
              <w:left w:w="144" w:type="dxa"/>
              <w:bottom w:w="72" w:type="dxa"/>
              <w:right w:w="144" w:type="dxa"/>
            </w:tcMar>
            <w:hideMark/>
          </w:tcPr>
          <w:p w:rsidR="00333406" w:rsidRDefault="00333406" w:rsidP="00D2291C">
            <w:pPr>
              <w:jc w:val="center"/>
            </w:pPr>
            <w:r>
              <w:t>$500.00</w:t>
            </w:r>
          </w:p>
        </w:tc>
      </w:tr>
      <w:tr w:rsidR="00252474" w:rsidRPr="00511646" w:rsidTr="00D2291C">
        <w:trPr>
          <w:trHeight w:val="323"/>
        </w:trPr>
        <w:tc>
          <w:tcPr>
            <w:tcW w:w="1118" w:type="dxa"/>
            <w:shd w:val="clear" w:color="auto" w:fill="auto"/>
            <w:tcMar>
              <w:top w:w="72" w:type="dxa"/>
              <w:left w:w="144" w:type="dxa"/>
              <w:bottom w:w="72" w:type="dxa"/>
              <w:right w:w="144" w:type="dxa"/>
            </w:tcMar>
            <w:hideMark/>
          </w:tcPr>
          <w:p w:rsidR="00252474" w:rsidRDefault="00252474" w:rsidP="00D2291C">
            <w:r>
              <w:t>FY’11*</w:t>
            </w:r>
          </w:p>
        </w:tc>
        <w:tc>
          <w:tcPr>
            <w:tcW w:w="2376" w:type="dxa"/>
            <w:shd w:val="clear" w:color="auto" w:fill="auto"/>
            <w:tcMar>
              <w:top w:w="72" w:type="dxa"/>
              <w:left w:w="144" w:type="dxa"/>
              <w:bottom w:w="72" w:type="dxa"/>
              <w:right w:w="144" w:type="dxa"/>
            </w:tcMar>
            <w:hideMark/>
          </w:tcPr>
          <w:p w:rsidR="00252474" w:rsidRDefault="00252474" w:rsidP="00D2291C">
            <w:pPr>
              <w:jc w:val="center"/>
            </w:pPr>
            <w:r>
              <w:t>2</w:t>
            </w:r>
            <w:r w:rsidR="00333406">
              <w:t>,</w:t>
            </w:r>
            <w:r>
              <w:t>703</w:t>
            </w:r>
          </w:p>
        </w:tc>
        <w:tc>
          <w:tcPr>
            <w:tcW w:w="1690" w:type="dxa"/>
            <w:shd w:val="clear" w:color="auto" w:fill="auto"/>
            <w:tcMar>
              <w:top w:w="72" w:type="dxa"/>
              <w:left w:w="144" w:type="dxa"/>
              <w:bottom w:w="72" w:type="dxa"/>
              <w:right w:w="144" w:type="dxa"/>
            </w:tcMar>
            <w:hideMark/>
          </w:tcPr>
          <w:p w:rsidR="00252474" w:rsidRDefault="00252474" w:rsidP="00D2291C">
            <w:pPr>
              <w:jc w:val="center"/>
            </w:pPr>
            <w:r>
              <w:t>46</w:t>
            </w:r>
          </w:p>
        </w:tc>
        <w:tc>
          <w:tcPr>
            <w:tcW w:w="2228" w:type="dxa"/>
            <w:shd w:val="clear" w:color="auto" w:fill="auto"/>
            <w:tcMar>
              <w:top w:w="72" w:type="dxa"/>
              <w:left w:w="144" w:type="dxa"/>
              <w:bottom w:w="72" w:type="dxa"/>
              <w:right w:w="144" w:type="dxa"/>
            </w:tcMar>
            <w:hideMark/>
          </w:tcPr>
          <w:p w:rsidR="00252474" w:rsidRDefault="00252474" w:rsidP="00D2291C">
            <w:pPr>
              <w:jc w:val="center"/>
            </w:pPr>
            <w:r>
              <w:t>$1,176,852.00</w:t>
            </w:r>
          </w:p>
        </w:tc>
        <w:tc>
          <w:tcPr>
            <w:tcW w:w="2700" w:type="dxa"/>
            <w:shd w:val="clear" w:color="auto" w:fill="auto"/>
            <w:tcMar>
              <w:top w:w="72" w:type="dxa"/>
              <w:left w:w="144" w:type="dxa"/>
              <w:bottom w:w="72" w:type="dxa"/>
              <w:right w:w="144" w:type="dxa"/>
            </w:tcMar>
            <w:hideMark/>
          </w:tcPr>
          <w:p w:rsidR="00252474" w:rsidRDefault="00252474" w:rsidP="00D2291C">
            <w:pPr>
              <w:jc w:val="center"/>
            </w:pPr>
            <w:r>
              <w:t>$435.00</w:t>
            </w:r>
          </w:p>
        </w:tc>
      </w:tr>
      <w:tr w:rsidR="00252474" w:rsidRPr="00511646" w:rsidTr="00D2291C">
        <w:trPr>
          <w:trHeight w:val="296"/>
        </w:trPr>
        <w:tc>
          <w:tcPr>
            <w:tcW w:w="1118" w:type="dxa"/>
            <w:shd w:val="clear" w:color="auto" w:fill="auto"/>
            <w:tcMar>
              <w:top w:w="72" w:type="dxa"/>
              <w:left w:w="144" w:type="dxa"/>
              <w:bottom w:w="72" w:type="dxa"/>
              <w:right w:w="144" w:type="dxa"/>
            </w:tcMar>
            <w:hideMark/>
          </w:tcPr>
          <w:p w:rsidR="00252474" w:rsidRDefault="00252474" w:rsidP="00D2291C">
            <w:r>
              <w:t>FY’10</w:t>
            </w:r>
          </w:p>
        </w:tc>
        <w:tc>
          <w:tcPr>
            <w:tcW w:w="2376" w:type="dxa"/>
            <w:shd w:val="clear" w:color="auto" w:fill="auto"/>
            <w:tcMar>
              <w:top w:w="72" w:type="dxa"/>
              <w:left w:w="144" w:type="dxa"/>
              <w:bottom w:w="72" w:type="dxa"/>
              <w:right w:w="144" w:type="dxa"/>
            </w:tcMar>
            <w:hideMark/>
          </w:tcPr>
          <w:p w:rsidR="00252474" w:rsidRDefault="00252474" w:rsidP="00D2291C">
            <w:pPr>
              <w:jc w:val="center"/>
            </w:pPr>
            <w:r>
              <w:t>4</w:t>
            </w:r>
            <w:r w:rsidR="00333406">
              <w:t>,</w:t>
            </w:r>
            <w:r>
              <w:t>241</w:t>
            </w:r>
          </w:p>
        </w:tc>
        <w:tc>
          <w:tcPr>
            <w:tcW w:w="1690" w:type="dxa"/>
            <w:shd w:val="clear" w:color="auto" w:fill="auto"/>
            <w:tcMar>
              <w:top w:w="72" w:type="dxa"/>
              <w:left w:w="144" w:type="dxa"/>
              <w:bottom w:w="72" w:type="dxa"/>
              <w:right w:w="144" w:type="dxa"/>
            </w:tcMar>
            <w:hideMark/>
          </w:tcPr>
          <w:p w:rsidR="00252474" w:rsidRDefault="00252474" w:rsidP="00D2291C">
            <w:pPr>
              <w:jc w:val="center"/>
            </w:pPr>
            <w:r>
              <w:t>71</w:t>
            </w:r>
          </w:p>
        </w:tc>
        <w:tc>
          <w:tcPr>
            <w:tcW w:w="2228" w:type="dxa"/>
            <w:shd w:val="clear" w:color="auto" w:fill="auto"/>
            <w:tcMar>
              <w:top w:w="72" w:type="dxa"/>
              <w:left w:w="144" w:type="dxa"/>
              <w:bottom w:w="72" w:type="dxa"/>
              <w:right w:w="144" w:type="dxa"/>
            </w:tcMar>
            <w:hideMark/>
          </w:tcPr>
          <w:p w:rsidR="00252474" w:rsidRDefault="00252474" w:rsidP="00D2291C">
            <w:pPr>
              <w:jc w:val="center"/>
            </w:pPr>
            <w:r>
              <w:t>$1,970,434.00</w:t>
            </w:r>
          </w:p>
        </w:tc>
        <w:tc>
          <w:tcPr>
            <w:tcW w:w="2700" w:type="dxa"/>
            <w:shd w:val="clear" w:color="auto" w:fill="auto"/>
            <w:tcMar>
              <w:top w:w="72" w:type="dxa"/>
              <w:left w:w="144" w:type="dxa"/>
              <w:bottom w:w="72" w:type="dxa"/>
              <w:right w:w="144" w:type="dxa"/>
            </w:tcMar>
            <w:hideMark/>
          </w:tcPr>
          <w:p w:rsidR="00252474" w:rsidRDefault="00252474" w:rsidP="00D2291C">
            <w:pPr>
              <w:jc w:val="center"/>
            </w:pPr>
            <w:r>
              <w:t>$465.00</w:t>
            </w:r>
          </w:p>
        </w:tc>
      </w:tr>
      <w:tr w:rsidR="00252474" w:rsidRPr="00511646" w:rsidTr="00D2291C">
        <w:trPr>
          <w:trHeight w:val="296"/>
        </w:trPr>
        <w:tc>
          <w:tcPr>
            <w:tcW w:w="1118" w:type="dxa"/>
            <w:shd w:val="clear" w:color="auto" w:fill="auto"/>
            <w:tcMar>
              <w:top w:w="72" w:type="dxa"/>
              <w:left w:w="144" w:type="dxa"/>
              <w:bottom w:w="72" w:type="dxa"/>
              <w:right w:w="144" w:type="dxa"/>
            </w:tcMar>
            <w:hideMark/>
          </w:tcPr>
          <w:p w:rsidR="00252474" w:rsidRDefault="00252474" w:rsidP="00D2291C">
            <w:r>
              <w:t>FY’09</w:t>
            </w:r>
          </w:p>
        </w:tc>
        <w:tc>
          <w:tcPr>
            <w:tcW w:w="2376" w:type="dxa"/>
            <w:shd w:val="clear" w:color="auto" w:fill="auto"/>
            <w:tcMar>
              <w:top w:w="72" w:type="dxa"/>
              <w:left w:w="144" w:type="dxa"/>
              <w:bottom w:w="72" w:type="dxa"/>
              <w:right w:w="144" w:type="dxa"/>
            </w:tcMar>
            <w:hideMark/>
          </w:tcPr>
          <w:p w:rsidR="00252474" w:rsidRDefault="00252474" w:rsidP="00D2291C">
            <w:pPr>
              <w:jc w:val="center"/>
            </w:pPr>
            <w:r>
              <w:t>4</w:t>
            </w:r>
            <w:r w:rsidR="00333406">
              <w:t>,</w:t>
            </w:r>
            <w:r>
              <w:t>585</w:t>
            </w:r>
          </w:p>
        </w:tc>
        <w:tc>
          <w:tcPr>
            <w:tcW w:w="1690" w:type="dxa"/>
            <w:shd w:val="clear" w:color="auto" w:fill="auto"/>
            <w:tcMar>
              <w:top w:w="72" w:type="dxa"/>
              <w:left w:w="144" w:type="dxa"/>
              <w:bottom w:w="72" w:type="dxa"/>
              <w:right w:w="144" w:type="dxa"/>
            </w:tcMar>
            <w:hideMark/>
          </w:tcPr>
          <w:p w:rsidR="00252474" w:rsidRDefault="00252474" w:rsidP="00D2291C">
            <w:pPr>
              <w:jc w:val="center"/>
            </w:pPr>
            <w:r>
              <w:t>74</w:t>
            </w:r>
          </w:p>
        </w:tc>
        <w:tc>
          <w:tcPr>
            <w:tcW w:w="2228" w:type="dxa"/>
            <w:shd w:val="clear" w:color="auto" w:fill="auto"/>
            <w:tcMar>
              <w:top w:w="72" w:type="dxa"/>
              <w:left w:w="144" w:type="dxa"/>
              <w:bottom w:w="72" w:type="dxa"/>
              <w:right w:w="144" w:type="dxa"/>
            </w:tcMar>
            <w:hideMark/>
          </w:tcPr>
          <w:p w:rsidR="00252474" w:rsidRPr="00D146A5" w:rsidRDefault="00252474" w:rsidP="00D2291C">
            <w:pPr>
              <w:jc w:val="center"/>
            </w:pPr>
            <w:r w:rsidRPr="00D146A5">
              <w:t>$2,100,903</w:t>
            </w:r>
            <w:r>
              <w:t>.00</w:t>
            </w:r>
          </w:p>
        </w:tc>
        <w:tc>
          <w:tcPr>
            <w:tcW w:w="2700" w:type="dxa"/>
            <w:shd w:val="clear" w:color="auto" w:fill="auto"/>
            <w:tcMar>
              <w:top w:w="72" w:type="dxa"/>
              <w:left w:w="144" w:type="dxa"/>
              <w:bottom w:w="72" w:type="dxa"/>
              <w:right w:w="144" w:type="dxa"/>
            </w:tcMar>
            <w:hideMark/>
          </w:tcPr>
          <w:p w:rsidR="00252474" w:rsidRDefault="00252474" w:rsidP="00D2291C">
            <w:pPr>
              <w:jc w:val="center"/>
            </w:pPr>
            <w:r>
              <w:t>$458.00</w:t>
            </w:r>
          </w:p>
        </w:tc>
      </w:tr>
      <w:tr w:rsidR="00252474" w:rsidRPr="00511646" w:rsidTr="00D2291C">
        <w:trPr>
          <w:trHeight w:val="386"/>
        </w:trPr>
        <w:tc>
          <w:tcPr>
            <w:tcW w:w="1118" w:type="dxa"/>
            <w:shd w:val="clear" w:color="auto" w:fill="auto"/>
            <w:tcMar>
              <w:top w:w="72" w:type="dxa"/>
              <w:left w:w="144" w:type="dxa"/>
              <w:bottom w:w="72" w:type="dxa"/>
              <w:right w:w="144" w:type="dxa"/>
            </w:tcMar>
            <w:hideMark/>
          </w:tcPr>
          <w:p w:rsidR="00252474" w:rsidRPr="00511646" w:rsidRDefault="00252474" w:rsidP="00D2291C">
            <w:r w:rsidRPr="00511646">
              <w:t>FY’08</w:t>
            </w:r>
          </w:p>
        </w:tc>
        <w:tc>
          <w:tcPr>
            <w:tcW w:w="2376" w:type="dxa"/>
            <w:shd w:val="clear" w:color="auto" w:fill="auto"/>
            <w:tcMar>
              <w:top w:w="72" w:type="dxa"/>
              <w:left w:w="144" w:type="dxa"/>
              <w:bottom w:w="72" w:type="dxa"/>
              <w:right w:w="144" w:type="dxa"/>
            </w:tcMar>
            <w:hideMark/>
          </w:tcPr>
          <w:p w:rsidR="00252474" w:rsidRPr="00511646" w:rsidRDefault="00252474" w:rsidP="00D2291C">
            <w:pPr>
              <w:jc w:val="center"/>
            </w:pPr>
            <w:r w:rsidRPr="00511646">
              <w:t>4</w:t>
            </w:r>
            <w:r w:rsidR="00333406">
              <w:t>,</w:t>
            </w:r>
            <w:r w:rsidRPr="00511646">
              <w:t>926</w:t>
            </w:r>
          </w:p>
        </w:tc>
        <w:tc>
          <w:tcPr>
            <w:tcW w:w="1690" w:type="dxa"/>
            <w:shd w:val="clear" w:color="auto" w:fill="auto"/>
            <w:tcMar>
              <w:top w:w="72" w:type="dxa"/>
              <w:left w:w="144" w:type="dxa"/>
              <w:bottom w:w="72" w:type="dxa"/>
              <w:right w:w="144" w:type="dxa"/>
            </w:tcMar>
            <w:hideMark/>
          </w:tcPr>
          <w:p w:rsidR="00252474" w:rsidRPr="00511646" w:rsidRDefault="00252474" w:rsidP="00D2291C">
            <w:pPr>
              <w:jc w:val="center"/>
            </w:pPr>
            <w:r w:rsidRPr="00511646">
              <w:t>81</w:t>
            </w:r>
          </w:p>
        </w:tc>
        <w:tc>
          <w:tcPr>
            <w:tcW w:w="2228" w:type="dxa"/>
            <w:shd w:val="clear" w:color="auto" w:fill="auto"/>
            <w:tcMar>
              <w:top w:w="72" w:type="dxa"/>
              <w:left w:w="144" w:type="dxa"/>
              <w:bottom w:w="72" w:type="dxa"/>
              <w:right w:w="144" w:type="dxa"/>
            </w:tcMar>
            <w:hideMark/>
          </w:tcPr>
          <w:p w:rsidR="00252474" w:rsidRPr="00511646" w:rsidRDefault="00252474" w:rsidP="00D2291C">
            <w:pPr>
              <w:jc w:val="center"/>
            </w:pPr>
            <w:r w:rsidRPr="00511646">
              <w:t>$3,124,940</w:t>
            </w:r>
            <w:r>
              <w:t>.00</w:t>
            </w:r>
          </w:p>
        </w:tc>
        <w:tc>
          <w:tcPr>
            <w:tcW w:w="2700" w:type="dxa"/>
            <w:shd w:val="clear" w:color="auto" w:fill="auto"/>
            <w:tcMar>
              <w:top w:w="72" w:type="dxa"/>
              <w:left w:w="144" w:type="dxa"/>
              <w:bottom w:w="72" w:type="dxa"/>
              <w:right w:w="144" w:type="dxa"/>
            </w:tcMar>
            <w:hideMark/>
          </w:tcPr>
          <w:p w:rsidR="00252474" w:rsidRDefault="00252474" w:rsidP="00D2291C">
            <w:pPr>
              <w:jc w:val="center"/>
            </w:pPr>
            <w:r>
              <w:t>$634.00</w:t>
            </w:r>
          </w:p>
        </w:tc>
      </w:tr>
      <w:tr w:rsidR="00252474" w:rsidRPr="00511646" w:rsidTr="00D2291C">
        <w:trPr>
          <w:trHeight w:val="305"/>
        </w:trPr>
        <w:tc>
          <w:tcPr>
            <w:tcW w:w="1118" w:type="dxa"/>
            <w:shd w:val="clear" w:color="auto" w:fill="auto"/>
            <w:tcMar>
              <w:top w:w="72" w:type="dxa"/>
              <w:left w:w="144" w:type="dxa"/>
              <w:bottom w:w="72" w:type="dxa"/>
              <w:right w:w="144" w:type="dxa"/>
            </w:tcMar>
            <w:hideMark/>
          </w:tcPr>
          <w:p w:rsidR="00252474" w:rsidRPr="00511646" w:rsidRDefault="00252474" w:rsidP="00D2291C">
            <w:r w:rsidRPr="00511646">
              <w:t>FY’07</w:t>
            </w:r>
          </w:p>
        </w:tc>
        <w:tc>
          <w:tcPr>
            <w:tcW w:w="2376" w:type="dxa"/>
            <w:shd w:val="clear" w:color="auto" w:fill="auto"/>
            <w:tcMar>
              <w:top w:w="72" w:type="dxa"/>
              <w:left w:w="144" w:type="dxa"/>
              <w:bottom w:w="72" w:type="dxa"/>
              <w:right w:w="144" w:type="dxa"/>
            </w:tcMar>
            <w:hideMark/>
          </w:tcPr>
          <w:p w:rsidR="00252474" w:rsidRPr="00511646" w:rsidRDefault="00252474" w:rsidP="00D2291C">
            <w:pPr>
              <w:jc w:val="center"/>
            </w:pPr>
            <w:r w:rsidRPr="00511646">
              <w:t>3</w:t>
            </w:r>
            <w:r w:rsidR="00333406">
              <w:t>,</w:t>
            </w:r>
            <w:r w:rsidRPr="00511646">
              <w:t>092</w:t>
            </w:r>
          </w:p>
        </w:tc>
        <w:tc>
          <w:tcPr>
            <w:tcW w:w="1690" w:type="dxa"/>
            <w:shd w:val="clear" w:color="auto" w:fill="auto"/>
            <w:tcMar>
              <w:top w:w="72" w:type="dxa"/>
              <w:left w:w="144" w:type="dxa"/>
              <w:bottom w:w="72" w:type="dxa"/>
              <w:right w:w="144" w:type="dxa"/>
            </w:tcMar>
            <w:hideMark/>
          </w:tcPr>
          <w:p w:rsidR="00252474" w:rsidRPr="00511646" w:rsidRDefault="00252474" w:rsidP="00D2291C">
            <w:pPr>
              <w:jc w:val="center"/>
            </w:pPr>
            <w:r w:rsidRPr="00511646">
              <w:t>53</w:t>
            </w:r>
          </w:p>
        </w:tc>
        <w:tc>
          <w:tcPr>
            <w:tcW w:w="2228" w:type="dxa"/>
            <w:shd w:val="clear" w:color="auto" w:fill="auto"/>
            <w:tcMar>
              <w:top w:w="72" w:type="dxa"/>
              <w:left w:w="144" w:type="dxa"/>
              <w:bottom w:w="72" w:type="dxa"/>
              <w:right w:w="144" w:type="dxa"/>
            </w:tcMar>
            <w:hideMark/>
          </w:tcPr>
          <w:p w:rsidR="00252474" w:rsidRPr="00511646" w:rsidRDefault="00252474" w:rsidP="00D2291C">
            <w:pPr>
              <w:jc w:val="center"/>
            </w:pPr>
            <w:r w:rsidRPr="00511646">
              <w:t>$1,361,271</w:t>
            </w:r>
            <w:r>
              <w:t>.00</w:t>
            </w:r>
          </w:p>
        </w:tc>
        <w:tc>
          <w:tcPr>
            <w:tcW w:w="2700" w:type="dxa"/>
            <w:shd w:val="clear" w:color="auto" w:fill="auto"/>
            <w:tcMar>
              <w:top w:w="72" w:type="dxa"/>
              <w:left w:w="144" w:type="dxa"/>
              <w:bottom w:w="72" w:type="dxa"/>
              <w:right w:w="144" w:type="dxa"/>
            </w:tcMar>
            <w:hideMark/>
          </w:tcPr>
          <w:p w:rsidR="00252474" w:rsidRPr="00A535C5" w:rsidRDefault="00252474" w:rsidP="00D2291C">
            <w:pPr>
              <w:jc w:val="center"/>
            </w:pPr>
            <w:r>
              <w:t>$435.00</w:t>
            </w:r>
          </w:p>
        </w:tc>
      </w:tr>
    </w:tbl>
    <w:p w:rsidR="00C25DF9" w:rsidRDefault="00252474" w:rsidP="00252474">
      <w:pPr>
        <w:ind w:left="720"/>
      </w:pPr>
      <w:r>
        <w:t>*In FY 11 VTP funding decreased from $2.8M to $1.6M</w:t>
      </w:r>
    </w:p>
    <w:p w:rsidR="002C13C6" w:rsidRDefault="002C13C6" w:rsidP="00F3289D">
      <w:pPr>
        <w:spacing w:after="200" w:line="276" w:lineRule="auto"/>
        <w:rPr>
          <w:b/>
        </w:rPr>
      </w:pPr>
    </w:p>
    <w:p w:rsidR="00252474" w:rsidRPr="00F3289D" w:rsidRDefault="00C25DF9" w:rsidP="002C13C6">
      <w:pPr>
        <w:spacing w:after="200"/>
        <w:rPr>
          <w:bCs/>
        </w:rPr>
      </w:pPr>
      <w:r w:rsidRPr="00F3289D">
        <w:rPr>
          <w:b/>
        </w:rPr>
        <w:t>Office of the Creative Economy</w:t>
      </w:r>
      <w:r w:rsidR="00F3289D" w:rsidRPr="00F3289D">
        <w:rPr>
          <w:bCs/>
        </w:rPr>
        <w:t xml:space="preserve"> </w:t>
      </w:r>
      <w:r w:rsidR="00F3289D" w:rsidRPr="00F3289D">
        <w:rPr>
          <w:b/>
          <w:bCs/>
        </w:rPr>
        <w:t>(OCE)</w:t>
      </w:r>
      <w:r w:rsidR="00F3289D">
        <w:rPr>
          <w:bCs/>
        </w:rPr>
        <w:t xml:space="preserve"> </w:t>
      </w:r>
      <w:r w:rsidR="00F3289D" w:rsidRPr="00F3289D">
        <w:rPr>
          <w:bCs/>
        </w:rPr>
        <w:t>was established in FY 2012. The ACCD’s Office of Creative economy will provide the expertise necessary to identify new areas of growth in the creative sector. Creative enterprises—from web designers and software game programmers, to architecture, e-commerce, graphic design, publishing, and Film and New Media companies, among others—are asserting their place as significant components of the new economy: providing high-paying, skilled jobs that are critical to the state’s economic future. We provide information on state incentives, including VEDA and VEGI programs.  We work with the Department of Labor to identify the specialized skills necessary for the workforce in a given geographical region or given field (e.g. computer science). We assist companies with their start-up needs by identifying office space, broadband availability, sources of loan capital, and workforce training and development opportunities. We act as a liaison between companies and higher education to identify internship and research and development opportunities.  We cultivate public-private partnerships among cultural organizations and assist business start-ups with networking opportunities through Internet and Web resources. We work with Vermont’s economic development corporations to identify specific regional needs and prioritize initiatives for future economic growth.</w:t>
      </w:r>
    </w:p>
    <w:p w:rsidR="00F3289D" w:rsidRDefault="00F3289D" w:rsidP="001B0A84">
      <w:pPr>
        <w:rPr>
          <w:b/>
          <w:i/>
          <w:sz w:val="26"/>
          <w:szCs w:val="26"/>
        </w:rPr>
      </w:pPr>
    </w:p>
    <w:p w:rsidR="00F25BE7" w:rsidRDefault="00974996" w:rsidP="001B0A84">
      <w:pPr>
        <w:rPr>
          <w:b/>
          <w:i/>
          <w:sz w:val="26"/>
          <w:szCs w:val="26"/>
        </w:rPr>
      </w:pPr>
      <w:r w:rsidRPr="000B58A2">
        <w:rPr>
          <w:b/>
          <w:i/>
          <w:sz w:val="26"/>
          <w:szCs w:val="26"/>
        </w:rPr>
        <w:t xml:space="preserve">Housing and Community </w:t>
      </w:r>
      <w:r w:rsidR="00C97AE8">
        <w:rPr>
          <w:b/>
          <w:i/>
          <w:sz w:val="26"/>
          <w:szCs w:val="26"/>
        </w:rPr>
        <w:t>Development</w:t>
      </w:r>
    </w:p>
    <w:p w:rsidR="00C83F4E" w:rsidRPr="000B58A2" w:rsidRDefault="00C83F4E" w:rsidP="001B0A84">
      <w:pPr>
        <w:rPr>
          <w:b/>
          <w:i/>
          <w:sz w:val="26"/>
          <w:szCs w:val="26"/>
        </w:rPr>
      </w:pPr>
    </w:p>
    <w:p w:rsidR="00910B50" w:rsidRDefault="000D0E6F" w:rsidP="00432E6B">
      <w:r>
        <w:t xml:space="preserve">DEHCD’s </w:t>
      </w:r>
      <w:r w:rsidR="00952749">
        <w:t xml:space="preserve">housing and community affairs programs further </w:t>
      </w:r>
      <w:r w:rsidR="00910B50">
        <w:t xml:space="preserve">the </w:t>
      </w:r>
      <w:r w:rsidR="00952749">
        <w:t>a</w:t>
      </w:r>
      <w:r w:rsidR="0034775A">
        <w:t xml:space="preserve">gency’s </w:t>
      </w:r>
      <w:r w:rsidR="00910B50">
        <w:t xml:space="preserve">mission </w:t>
      </w:r>
      <w:r w:rsidR="0034775A">
        <w:t xml:space="preserve">by supporting </w:t>
      </w:r>
      <w:r w:rsidR="00910B50">
        <w:t xml:space="preserve">sustainable development of Vermont communities through state housing policy </w:t>
      </w:r>
      <w:r w:rsidR="00262C82">
        <w:t xml:space="preserve">and programs; </w:t>
      </w:r>
      <w:r w:rsidR="00910B50">
        <w:t>awards of federal Community Development Block Grants (CDBG) to municipalities; development of state land use policy and support for local and regional planning and delivery of programs to preserve the health of Vermont's downtowns and village centers.</w:t>
      </w:r>
      <w:r w:rsidR="0076537E">
        <w:t xml:space="preserve">  </w:t>
      </w:r>
    </w:p>
    <w:p w:rsidR="00435E88" w:rsidRDefault="004038F8" w:rsidP="00432E6B">
      <w:r>
        <w:t xml:space="preserve"> </w:t>
      </w:r>
    </w:p>
    <w:p w:rsidR="00524AA7" w:rsidRDefault="00524AA7" w:rsidP="001E6038">
      <w:pPr>
        <w:rPr>
          <w:b/>
          <w:u w:val="single"/>
        </w:rPr>
      </w:pPr>
      <w:r w:rsidRPr="00524AA7">
        <w:rPr>
          <w:b/>
          <w:u w:val="single"/>
        </w:rPr>
        <w:t>Housing</w:t>
      </w:r>
    </w:p>
    <w:p w:rsidR="00524AA7" w:rsidRPr="00524AA7" w:rsidRDefault="006302BD" w:rsidP="001E6038">
      <w:r>
        <w:t xml:space="preserve">Decent and affordable housing is a basic need of all Vermonters and it is a cornerstone of a viable economy and healthy communities.  DEHCD’s role is to coordinate and oversee the implementation of the state’s housing policy, facilitate collaboration among state housing agencies, serve as a resource to housing providers, </w:t>
      </w:r>
      <w:r w:rsidR="0039680F">
        <w:t xml:space="preserve">and </w:t>
      </w:r>
      <w:r>
        <w:t xml:space="preserve">promote and support the production and preservation of housing that is </w:t>
      </w:r>
      <w:r w:rsidR="0039680F">
        <w:t xml:space="preserve">affordable to all. The department accomplishes these through its programs, staff activities and leadership of the Vermont Housing Council.  </w:t>
      </w:r>
      <w:r w:rsidR="00524AA7">
        <w:t xml:space="preserve"> </w:t>
      </w:r>
    </w:p>
    <w:p w:rsidR="00524AA7" w:rsidRDefault="00524AA7" w:rsidP="001E6038">
      <w:pPr>
        <w:rPr>
          <w:u w:val="single"/>
        </w:rPr>
      </w:pPr>
    </w:p>
    <w:p w:rsidR="001E6038" w:rsidRDefault="001E6038" w:rsidP="001E6038">
      <w:r w:rsidRPr="00207565">
        <w:rPr>
          <w:b/>
        </w:rPr>
        <w:t>Mobile Home Park Program</w:t>
      </w:r>
      <w:r w:rsidR="00FD6AEB" w:rsidRPr="00207565">
        <w:rPr>
          <w:b/>
        </w:rPr>
        <w:t>:</w:t>
      </w:r>
      <w:r w:rsidRPr="00207565">
        <w:rPr>
          <w:b/>
        </w:rPr>
        <w:t xml:space="preserve"> </w:t>
      </w:r>
      <w:r w:rsidRPr="00C624D4">
        <w:t xml:space="preserve">The goal of this program is to ensure mobile home park residents can access their rights and achieve decent affordable mobile home housing including protection from unjustified rent increases and loss of their homes as a result of the sale or closure of a park. </w:t>
      </w:r>
      <w:r>
        <w:t xml:space="preserve">DEHCD works </w:t>
      </w:r>
      <w:r w:rsidRPr="00C624D4">
        <w:t>to accomplish this by administ</w:t>
      </w:r>
      <w:r>
        <w:t>ering t</w:t>
      </w:r>
      <w:r w:rsidRPr="00C624D4">
        <w:t xml:space="preserve">he state’s mobile home park laws including completing our annual park registry, </w:t>
      </w:r>
      <w:r>
        <w:t xml:space="preserve">monitoring </w:t>
      </w:r>
      <w:r w:rsidRPr="00C624D4">
        <w:t xml:space="preserve">rent increases and facilitating lot rent mediation, administering the First Stop grant, and overseeing park sale </w:t>
      </w:r>
      <w:r>
        <w:t xml:space="preserve">and closure </w:t>
      </w:r>
      <w:r w:rsidRPr="00C624D4">
        <w:t xml:space="preserve">notifications. </w:t>
      </w:r>
    </w:p>
    <w:p w:rsidR="001E6038" w:rsidRDefault="001E6038" w:rsidP="001E6038"/>
    <w:p w:rsidR="001E6038" w:rsidRDefault="001E6038" w:rsidP="001E6038">
      <w:r>
        <w:t xml:space="preserve">Measures showing that the program is meeting its goal include the percentage of parks noticed for sale or closure whose </w:t>
      </w:r>
      <w:r w:rsidRPr="00C624D4">
        <w:t xml:space="preserve">residents are ensured access to their rights </w:t>
      </w:r>
      <w:r>
        <w:t>(100% of residents in parks noticed for sale or closure are informed of their rights and offered technical assistance.)  Another key measure is the difference between median lot rent increases and increases in the consumer price index.  As shown in the graph below, rent increases over the last ten years have closely tracked increases in CPI.</w:t>
      </w:r>
    </w:p>
    <w:p w:rsidR="001E6038" w:rsidRPr="00C624D4" w:rsidRDefault="001E6038" w:rsidP="001E6038"/>
    <w:p w:rsidR="001E6038" w:rsidRPr="00C624D4" w:rsidRDefault="001E6038" w:rsidP="00207565">
      <w:r>
        <w:rPr>
          <w:noProof/>
        </w:rPr>
        <w:drawing>
          <wp:inline distT="0" distB="0" distL="0" distR="0">
            <wp:extent cx="4902413" cy="3326388"/>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4908285" cy="3330372"/>
                    </a:xfrm>
                    <a:prstGeom prst="rect">
                      <a:avLst/>
                    </a:prstGeom>
                    <a:noFill/>
                  </pic:spPr>
                </pic:pic>
              </a:graphicData>
            </a:graphic>
          </wp:inline>
        </w:drawing>
      </w:r>
    </w:p>
    <w:p w:rsidR="001E6038" w:rsidRPr="00C624D4" w:rsidRDefault="001E6038" w:rsidP="001E6038"/>
    <w:p w:rsidR="001E6038" w:rsidRDefault="001E6038" w:rsidP="001E6038">
      <w:pPr>
        <w:autoSpaceDE w:val="0"/>
        <w:autoSpaceDN w:val="0"/>
      </w:pPr>
      <w:r w:rsidRPr="00207565">
        <w:rPr>
          <w:b/>
        </w:rPr>
        <w:t>HUD Consolidated Planning:</w:t>
      </w:r>
      <w:r w:rsidRPr="00C624D4">
        <w:t xml:space="preserve">  The purpose of the HUD Consolidated Plan is to secure citizen input and develop strategies and actions in order to apply for federal formula funds for housing and community development from the U.S. Department of Housing and Urban Development to provide decent housing, assure a suitable living environment, and expand economic opportunities for Vermont’s citizens.</w:t>
      </w:r>
      <w:r>
        <w:t xml:space="preserve">  This plan is developed every five years and then up-dated annually through an Action Plan.  </w:t>
      </w:r>
      <w:r w:rsidRPr="000B307B">
        <w:t xml:space="preserve">Staff </w:t>
      </w:r>
      <w:r>
        <w:t xml:space="preserve">is </w:t>
      </w:r>
      <w:r w:rsidRPr="000B307B">
        <w:t>committed to meeting all HUD process</w:t>
      </w:r>
      <w:r>
        <w:t>es</w:t>
      </w:r>
      <w:r w:rsidRPr="000B307B">
        <w:t>, timeline</w:t>
      </w:r>
      <w:r>
        <w:t>s</w:t>
      </w:r>
      <w:r w:rsidRPr="000B307B">
        <w:t xml:space="preserve"> and requests for information </w:t>
      </w:r>
      <w:r>
        <w:t xml:space="preserve">deadlines </w:t>
      </w:r>
      <w:r w:rsidRPr="000B307B">
        <w:t xml:space="preserve">without fail </w:t>
      </w:r>
      <w:r>
        <w:t xml:space="preserve">to ensure that </w:t>
      </w:r>
      <w:r w:rsidRPr="000B307B">
        <w:t xml:space="preserve">HUD approves the Consolidated Plan and the state receives federal funding </w:t>
      </w:r>
      <w:r w:rsidR="00AA5E09">
        <w:t xml:space="preserve">through the </w:t>
      </w:r>
      <w:r w:rsidRPr="000B307B">
        <w:t>CDBG, HOME, an</w:t>
      </w:r>
      <w:r>
        <w:t>d Emergency Solutions Grants</w:t>
      </w:r>
      <w:r w:rsidR="00AA5E09">
        <w:t xml:space="preserve"> programs</w:t>
      </w:r>
      <w:r>
        <w:t>.   This process ensures that these federal funds are used in a way that is consistent with state priorities and strategies.</w:t>
      </w:r>
    </w:p>
    <w:p w:rsidR="001E6038" w:rsidRPr="00C624D4" w:rsidRDefault="001E6038" w:rsidP="001E6038">
      <w:pPr>
        <w:autoSpaceDE w:val="0"/>
        <w:autoSpaceDN w:val="0"/>
      </w:pPr>
    </w:p>
    <w:p w:rsidR="006318B1" w:rsidRDefault="006318B1" w:rsidP="001E6038">
      <w:pPr>
        <w:rPr>
          <w:u w:val="single"/>
        </w:rPr>
      </w:pPr>
    </w:p>
    <w:p w:rsidR="001E6038" w:rsidRDefault="001E6038" w:rsidP="001E6038">
      <w:pPr>
        <w:rPr>
          <w:snapToGrid w:val="0"/>
        </w:rPr>
      </w:pPr>
      <w:r w:rsidRPr="00207565">
        <w:rPr>
          <w:b/>
        </w:rPr>
        <w:t>Charitable Housing Tax Credit</w:t>
      </w:r>
      <w:r w:rsidR="00FD6AEB" w:rsidRPr="00207565">
        <w:rPr>
          <w:b/>
        </w:rPr>
        <w:t>:</w:t>
      </w:r>
      <w:r w:rsidR="00FD6AEB" w:rsidRPr="00FD6AEB">
        <w:t xml:space="preserve"> </w:t>
      </w:r>
      <w:r w:rsidR="0076537E">
        <w:rPr>
          <w:snapToGrid w:val="0"/>
        </w:rPr>
        <w:t xml:space="preserve">DEHCD administers, in collaboration with the Tax Department, the charitable housing credit.  The purpose of the </w:t>
      </w:r>
      <w:r w:rsidRPr="00391274">
        <w:rPr>
          <w:snapToGrid w:val="0"/>
        </w:rPr>
        <w:t xml:space="preserve">tax credit </w:t>
      </w:r>
      <w:r w:rsidR="0076537E">
        <w:rPr>
          <w:snapToGrid w:val="0"/>
        </w:rPr>
        <w:t>is to encourage private investment</w:t>
      </w:r>
      <w:r w:rsidRPr="00391274">
        <w:rPr>
          <w:snapToGrid w:val="0"/>
        </w:rPr>
        <w:t xml:space="preserve"> in affordable housing in Vermont by allowing investors to receive a tax credit on their state income taxes if they invest their funds with affordable housing organizations approved by DEHCD as “housing charities” at below market rates. </w:t>
      </w:r>
      <w:r>
        <w:rPr>
          <w:snapToGrid w:val="0"/>
        </w:rPr>
        <w:t>The housing charities reinvest the funds into affordable housing projects. B</w:t>
      </w:r>
      <w:r w:rsidRPr="00391274">
        <w:rPr>
          <w:snapToGrid w:val="0"/>
        </w:rPr>
        <w:t>ecause the tax credit is based on interest rates and capped at three percent of the investment this credit is extremely cost effective.</w:t>
      </w:r>
      <w:r>
        <w:rPr>
          <w:snapToGrid w:val="0"/>
        </w:rPr>
        <w:t xml:space="preserve">  Measures include the amount of investment leveraged, the amount spent on affordable housing projects and the cost to the state.  </w:t>
      </w:r>
    </w:p>
    <w:p w:rsidR="00BF0500" w:rsidRDefault="00BF0500" w:rsidP="001E6038">
      <w:pPr>
        <w:rPr>
          <w:snapToGrid w:val="0"/>
        </w:rPr>
      </w:pPr>
    </w:p>
    <w:p w:rsidR="00BF0500" w:rsidRDefault="00BF0500" w:rsidP="001E6038">
      <w:pPr>
        <w:rPr>
          <w:bCs/>
        </w:rPr>
      </w:pPr>
      <w:r w:rsidRPr="00BF0500">
        <w:rPr>
          <w:bCs/>
        </w:rPr>
        <w:t>2011 measures will be available after housing charities submit their year-end annual reports which are due on January 31, 2012. Because the credit is based on interest rates which vary from year to year, and individual investors’ tax decisions, the Department can’t predict with any degree of certainty how the program will perform from year to year.  However, the credit is always based on no more than 3% of charitable investments and tax credit ‘certificates’ are capped at $5 million.</w:t>
      </w:r>
    </w:p>
    <w:p w:rsidR="00BF0500" w:rsidRPr="00BF0500" w:rsidRDefault="00BF0500" w:rsidP="001E6038">
      <w:pPr>
        <w:rPr>
          <w:snapToGrid w:val="0"/>
        </w:rPr>
      </w:pPr>
    </w:p>
    <w:p w:rsidR="001E6038" w:rsidRPr="00C819D5" w:rsidRDefault="001E6038" w:rsidP="001E6038">
      <w:pPr>
        <w:pStyle w:val="ListParagraph"/>
        <w:numPr>
          <w:ilvl w:val="0"/>
          <w:numId w:val="20"/>
        </w:numPr>
        <w:rPr>
          <w:snapToGrid w:val="0"/>
        </w:rPr>
      </w:pPr>
      <w:r w:rsidRPr="00C819D5">
        <w:rPr>
          <w:snapToGrid w:val="0"/>
        </w:rPr>
        <w:t>Total amount of money invested with ap</w:t>
      </w:r>
      <w:r w:rsidR="00207565">
        <w:rPr>
          <w:snapToGrid w:val="0"/>
        </w:rPr>
        <w:t>proved hous</w:t>
      </w:r>
      <w:r w:rsidR="00BF0500">
        <w:rPr>
          <w:snapToGrid w:val="0"/>
        </w:rPr>
        <w:t xml:space="preserve">ing charities: 2010- $614,878; </w:t>
      </w:r>
      <w:r w:rsidR="00207565">
        <w:rPr>
          <w:snapToGrid w:val="0"/>
        </w:rPr>
        <w:t>2009-$323,477; 2008-$483,340; 2007-</w:t>
      </w:r>
      <w:r w:rsidRPr="00C819D5">
        <w:rPr>
          <w:snapToGrid w:val="0"/>
        </w:rPr>
        <w:t>$236,955.</w:t>
      </w:r>
    </w:p>
    <w:p w:rsidR="001E6038" w:rsidRPr="00391274" w:rsidRDefault="001E6038" w:rsidP="001E6038">
      <w:pPr>
        <w:pStyle w:val="ListParagraph"/>
        <w:numPr>
          <w:ilvl w:val="0"/>
          <w:numId w:val="18"/>
        </w:numPr>
        <w:rPr>
          <w:snapToGrid w:val="0"/>
        </w:rPr>
      </w:pPr>
      <w:r w:rsidRPr="00391274">
        <w:rPr>
          <w:snapToGrid w:val="0"/>
        </w:rPr>
        <w:t>Amount disbursed by housing charities on affo</w:t>
      </w:r>
      <w:r w:rsidR="00207565">
        <w:rPr>
          <w:snapToGrid w:val="0"/>
        </w:rPr>
        <w:t>rdable housing projects: 2010-$585,000; 2009-$1,184,820; 2008-$1,496,800; 2007-</w:t>
      </w:r>
      <w:r w:rsidRPr="00391274">
        <w:rPr>
          <w:snapToGrid w:val="0"/>
        </w:rPr>
        <w:t>$2,199,717</w:t>
      </w:r>
    </w:p>
    <w:p w:rsidR="001E6038" w:rsidRDefault="001E6038" w:rsidP="001E6038">
      <w:pPr>
        <w:pStyle w:val="ListParagraph"/>
        <w:numPr>
          <w:ilvl w:val="0"/>
          <w:numId w:val="18"/>
        </w:numPr>
      </w:pPr>
      <w:r w:rsidRPr="00391274">
        <w:rPr>
          <w:snapToGrid w:val="0"/>
        </w:rPr>
        <w:t>Cost to State in tax credits earned (est. to nearest</w:t>
      </w:r>
      <w:r w:rsidR="00207565">
        <w:rPr>
          <w:snapToGrid w:val="0"/>
        </w:rPr>
        <w:t xml:space="preserve"> $1000): 2010-$17,000; 2009-</w:t>
      </w:r>
      <w:r>
        <w:rPr>
          <w:snapToGrid w:val="0"/>
        </w:rPr>
        <w:t>$</w:t>
      </w:r>
      <w:r w:rsidR="00207565">
        <w:rPr>
          <w:snapToGrid w:val="0"/>
        </w:rPr>
        <w:t>38,000; 2008-$51,000; 2007-</w:t>
      </w:r>
      <w:r>
        <w:rPr>
          <w:snapToGrid w:val="0"/>
        </w:rPr>
        <w:t>$</w:t>
      </w:r>
      <w:r w:rsidRPr="00391274">
        <w:rPr>
          <w:snapToGrid w:val="0"/>
        </w:rPr>
        <w:t>41,000</w:t>
      </w:r>
    </w:p>
    <w:p w:rsidR="0088083C" w:rsidRPr="00974996" w:rsidRDefault="0088083C" w:rsidP="004038F8"/>
    <w:p w:rsidR="004235E3" w:rsidRDefault="00D03FC6" w:rsidP="004235E3">
      <w:r w:rsidRPr="00D03FC6">
        <w:rPr>
          <w:b/>
        </w:rPr>
        <w:t>Home Investment Partnerships Program (HOME):</w:t>
      </w:r>
      <w:r w:rsidR="004235E3">
        <w:t xml:space="preserve">  The intent of the </w:t>
      </w:r>
      <w:r w:rsidR="009D4DAF">
        <w:t xml:space="preserve">federal </w:t>
      </w:r>
      <w:r w:rsidR="004235E3">
        <w:t>HOME Program is to strengthen public-private partnerships and to expand the supply of decent, safe, sanitary, and affordable housing, with primary attention to rental housing, for very low-income and low-income families.</w:t>
      </w:r>
      <w:r w:rsidR="00281C1C">
        <w:t xml:space="preserve">  </w:t>
      </w:r>
      <w:r w:rsidR="009D4DAF">
        <w:t>The State of Vermont is the designated Participating Jurisdiction.</w:t>
      </w:r>
    </w:p>
    <w:p w:rsidR="004235E3" w:rsidRDefault="004235E3" w:rsidP="004235E3"/>
    <w:p w:rsidR="004235E3" w:rsidRDefault="004235E3" w:rsidP="004235E3">
      <w:r>
        <w:t>The State received $3.</w:t>
      </w:r>
      <w:r w:rsidR="00F00C8E">
        <w:t>3</w:t>
      </w:r>
      <w:r w:rsidR="00FB7077">
        <w:t xml:space="preserve"> million i</w:t>
      </w:r>
      <w:r>
        <w:t>n HOME Funds for 201</w:t>
      </w:r>
      <w:r w:rsidR="00F00C8E">
        <w:t>1</w:t>
      </w:r>
      <w:r w:rsidR="00FB7077">
        <w:t>.  While retaining compliance and reporting responsibilities, DEHCD subgrants the funds to the Vermont Housing and Conservation Board</w:t>
      </w:r>
      <w:r w:rsidR="00207565">
        <w:t xml:space="preserve"> (VHCB)</w:t>
      </w:r>
      <w:r w:rsidR="00FB7077">
        <w:t xml:space="preserve"> which administers the program.  VHCB will use </w:t>
      </w:r>
      <w:r>
        <w:t>$</w:t>
      </w:r>
      <w:r w:rsidR="002B6180">
        <w:t>2.8</w:t>
      </w:r>
      <w:r w:rsidR="00FB7077">
        <w:t xml:space="preserve"> million to fund projects creating </w:t>
      </w:r>
      <w:r>
        <w:t>new or rehabilitate existing affordable rental housing units</w:t>
      </w:r>
      <w:r w:rsidR="00FB7077">
        <w:t xml:space="preserve"> throughout Vermont.  A statutory </w:t>
      </w:r>
      <w:r w:rsidR="006B5AF3">
        <w:t>set-aside</w:t>
      </w:r>
      <w:r w:rsidR="00FB7077">
        <w:t xml:space="preserve"> directs $</w:t>
      </w:r>
      <w:r w:rsidR="002B6180">
        <w:t>503,459</w:t>
      </w:r>
      <w:r w:rsidR="00FB7077">
        <w:t xml:space="preserve"> of this amount to </w:t>
      </w:r>
      <w:r>
        <w:t>Community Housing Dev</w:t>
      </w:r>
      <w:r w:rsidR="00FB7077">
        <w:t>elopment Organizations</w:t>
      </w:r>
      <w:r w:rsidR="00207565">
        <w:t xml:space="preserve"> (CHDO)</w:t>
      </w:r>
      <w:r w:rsidR="00FB7077">
        <w:t xml:space="preserve"> (local housing nonprofits) for </w:t>
      </w:r>
      <w:r>
        <w:t>feasibility and operating costs.</w:t>
      </w:r>
      <w:r w:rsidR="00FB5D9A">
        <w:t xml:space="preserve">  The State of Vermont won a prestigious HUD Door Knocker Award for CHDO Capacity building in May 2011.  In the last 10 years, the CHDO’s have been responsible for the development of nearly 3000 units of affordable housing, of which 1000 are HOME units.  More than half of the HOME-assisted projects were undertaken in communities of less than 1000 people.</w:t>
      </w:r>
      <w:r>
        <w:t xml:space="preserve"> </w:t>
      </w:r>
    </w:p>
    <w:p w:rsidR="00FB7077" w:rsidRDefault="00FB7077" w:rsidP="004235E3"/>
    <w:p w:rsidR="00FB7077" w:rsidRDefault="00FB7077" w:rsidP="004235E3">
      <w:r>
        <w:t xml:space="preserve">The HOME program has been subject to drastic federal budget cuts and </w:t>
      </w:r>
      <w:r w:rsidR="00BC6C37">
        <w:t xml:space="preserve">funding has declined </w:t>
      </w:r>
      <w:r w:rsidR="00F00C8E">
        <w:t xml:space="preserve">21 </w:t>
      </w:r>
      <w:r w:rsidR="00BC6C37">
        <w:t>% over the last two years. VHCB is able to fund fewer projects</w:t>
      </w:r>
      <w:r w:rsidR="0091498F">
        <w:t>,</w:t>
      </w:r>
      <w:r w:rsidR="00BC6C37">
        <w:t xml:space="preserve"> meaning fewer Vermont households ha</w:t>
      </w:r>
      <w:r w:rsidR="009D4DAF">
        <w:t xml:space="preserve">ve </w:t>
      </w:r>
      <w:r w:rsidR="00BC6C37">
        <w:t>access to apartments the</w:t>
      </w:r>
      <w:r w:rsidR="00F00C8E">
        <w:t>y</w:t>
      </w:r>
      <w:r w:rsidR="00BC6C37">
        <w:t xml:space="preserve"> can afford.  The accompanying decrease in administrative funding </w:t>
      </w:r>
      <w:r w:rsidR="0091498F">
        <w:t xml:space="preserve">for the program </w:t>
      </w:r>
      <w:r w:rsidR="00BC6C37">
        <w:t>places pressure on DEHCD and VHCB’s budgets, particula</w:t>
      </w:r>
      <w:r w:rsidR="00FD43E4">
        <w:t xml:space="preserve">rly given </w:t>
      </w:r>
      <w:r w:rsidR="00BC6C37">
        <w:t>the program</w:t>
      </w:r>
      <w:r w:rsidR="0091498F">
        <w:t>’</w:t>
      </w:r>
      <w:r w:rsidR="00BC6C37">
        <w:t>s ongoing monitoring requirements which extend 15 to 20 years.</w:t>
      </w:r>
      <w:r w:rsidR="00294C83">
        <w:t xml:space="preserve">  Further, with new language in the 2012 </w:t>
      </w:r>
      <w:r w:rsidR="009D4DAF">
        <w:t xml:space="preserve">HUD </w:t>
      </w:r>
      <w:r w:rsidR="00294C83">
        <w:t>Appropriation</w:t>
      </w:r>
      <w:r w:rsidR="009D4DAF">
        <w:t>s</w:t>
      </w:r>
      <w:r w:rsidR="00294C83">
        <w:t xml:space="preserve"> Bill and </w:t>
      </w:r>
      <w:r w:rsidR="009D4DAF">
        <w:t xml:space="preserve">a </w:t>
      </w:r>
      <w:r w:rsidR="00294C83">
        <w:t xml:space="preserve"> proposed new HOME Rule, there will be increased oversight and reporting required by the Participating Jurisdiction, the State.</w:t>
      </w:r>
    </w:p>
    <w:p w:rsidR="004235E3" w:rsidRDefault="004235E3" w:rsidP="004235E3"/>
    <w:p w:rsidR="0091498F" w:rsidRDefault="0091498F" w:rsidP="0036713A"/>
    <w:p w:rsidR="00207565" w:rsidRDefault="004235E3" w:rsidP="0036713A">
      <w:r>
        <w:t xml:space="preserve">Accomplishments </w:t>
      </w:r>
      <w:r w:rsidR="00207565">
        <w:t>during this past Program Year:</w:t>
      </w:r>
    </w:p>
    <w:p w:rsidR="00207565" w:rsidRPr="00207565" w:rsidRDefault="004235E3" w:rsidP="00207565">
      <w:pPr>
        <w:pStyle w:val="ListParagraph"/>
        <w:numPr>
          <w:ilvl w:val="0"/>
          <w:numId w:val="24"/>
        </w:numPr>
        <w:rPr>
          <w:rFonts w:eastAsiaTheme="minorHAnsi"/>
          <w:bCs/>
          <w:color w:val="000000"/>
        </w:rPr>
      </w:pPr>
      <w:r>
        <w:t xml:space="preserve">10 CHDO’s serve the entire State; </w:t>
      </w:r>
    </w:p>
    <w:p w:rsidR="00207565" w:rsidRPr="00207565" w:rsidRDefault="00FB5D9A" w:rsidP="00207565">
      <w:pPr>
        <w:pStyle w:val="ListParagraph"/>
        <w:numPr>
          <w:ilvl w:val="0"/>
          <w:numId w:val="24"/>
        </w:numPr>
        <w:rPr>
          <w:rFonts w:eastAsiaTheme="minorHAnsi"/>
          <w:bCs/>
          <w:color w:val="000000"/>
        </w:rPr>
      </w:pPr>
      <w:r>
        <w:t>88</w:t>
      </w:r>
      <w:r w:rsidR="009D4DAF">
        <w:t xml:space="preserve"> </w:t>
      </w:r>
      <w:r w:rsidR="004235E3">
        <w:t>multi-family units were preserved</w:t>
      </w:r>
      <w:r w:rsidR="009D4DAF">
        <w:t xml:space="preserve"> or </w:t>
      </w:r>
      <w:r w:rsidR="004235E3">
        <w:t xml:space="preserve">created; </w:t>
      </w:r>
    </w:p>
    <w:p w:rsidR="00207565" w:rsidRPr="00207565" w:rsidRDefault="00FB5D9A" w:rsidP="00207565">
      <w:pPr>
        <w:pStyle w:val="ListParagraph"/>
        <w:numPr>
          <w:ilvl w:val="0"/>
          <w:numId w:val="24"/>
        </w:numPr>
        <w:rPr>
          <w:rFonts w:eastAsiaTheme="minorHAnsi"/>
          <w:bCs/>
          <w:color w:val="000000"/>
        </w:rPr>
      </w:pPr>
      <w:r>
        <w:t xml:space="preserve">46 </w:t>
      </w:r>
      <w:r w:rsidR="004235E3">
        <w:t>households at &lt;30% area median income (AMI) were housed;</w:t>
      </w:r>
    </w:p>
    <w:p w:rsidR="00207565" w:rsidRPr="00207565" w:rsidRDefault="00FB5D9A" w:rsidP="00207565">
      <w:pPr>
        <w:pStyle w:val="ListParagraph"/>
        <w:numPr>
          <w:ilvl w:val="0"/>
          <w:numId w:val="24"/>
        </w:numPr>
        <w:rPr>
          <w:rFonts w:eastAsiaTheme="minorHAnsi"/>
          <w:bCs/>
          <w:color w:val="000000"/>
        </w:rPr>
      </w:pPr>
      <w:r>
        <w:t>32</w:t>
      </w:r>
      <w:r w:rsidR="003C0FC5">
        <w:t xml:space="preserve"> </w:t>
      </w:r>
      <w:r w:rsidR="004235E3">
        <w:t xml:space="preserve">households &gt;30%/&lt;50% AMI were housed; </w:t>
      </w:r>
    </w:p>
    <w:p w:rsidR="00207565" w:rsidRPr="00207565" w:rsidRDefault="00FB5D9A" w:rsidP="00207565">
      <w:pPr>
        <w:pStyle w:val="ListParagraph"/>
        <w:numPr>
          <w:ilvl w:val="0"/>
          <w:numId w:val="24"/>
        </w:numPr>
        <w:rPr>
          <w:rFonts w:eastAsiaTheme="minorHAnsi"/>
          <w:bCs/>
          <w:color w:val="000000"/>
        </w:rPr>
      </w:pPr>
      <w:r>
        <w:t>10</w:t>
      </w:r>
      <w:r w:rsidR="003C0FC5">
        <w:t xml:space="preserve"> </w:t>
      </w:r>
      <w:r w:rsidR="004235E3">
        <w:t xml:space="preserve">households &gt;50%/&lt;80% AMI were housed; and </w:t>
      </w:r>
    </w:p>
    <w:p w:rsidR="00C41BDD" w:rsidRPr="00C41BDD" w:rsidRDefault="00FB5D9A" w:rsidP="00207565">
      <w:pPr>
        <w:pStyle w:val="ListParagraph"/>
        <w:numPr>
          <w:ilvl w:val="0"/>
          <w:numId w:val="24"/>
        </w:numPr>
        <w:rPr>
          <w:rFonts w:eastAsiaTheme="minorHAnsi"/>
          <w:bCs/>
          <w:color w:val="000000"/>
        </w:rPr>
      </w:pPr>
      <w:r>
        <w:t xml:space="preserve">157 </w:t>
      </w:r>
      <w:r w:rsidR="004235E3">
        <w:t xml:space="preserve">units met Energy Star Rating.  </w:t>
      </w:r>
    </w:p>
    <w:p w:rsidR="00BF0500" w:rsidRDefault="00BF0500" w:rsidP="00C41BDD">
      <w:pPr>
        <w:rPr>
          <w:rFonts w:eastAsiaTheme="minorHAnsi"/>
          <w:bCs/>
          <w:color w:val="000000"/>
        </w:rPr>
      </w:pPr>
    </w:p>
    <w:p w:rsidR="00C41BDD" w:rsidRDefault="00C41BDD" w:rsidP="00C41BDD">
      <w:pPr>
        <w:rPr>
          <w:rFonts w:eastAsiaTheme="minorHAnsi"/>
          <w:bCs/>
          <w:color w:val="000000"/>
        </w:rPr>
      </w:pPr>
      <w:r>
        <w:rPr>
          <w:rFonts w:eastAsiaTheme="minorHAnsi"/>
          <w:bCs/>
          <w:color w:val="000000"/>
        </w:rPr>
        <w:t>Projected Accomplishments for FY2012:</w:t>
      </w:r>
    </w:p>
    <w:p w:rsidR="00C41BDD" w:rsidRDefault="00C41BDD" w:rsidP="00C41BDD">
      <w:pPr>
        <w:pStyle w:val="ListParagraph"/>
        <w:numPr>
          <w:ilvl w:val="0"/>
          <w:numId w:val="30"/>
        </w:numPr>
        <w:rPr>
          <w:rFonts w:eastAsiaTheme="minorHAnsi"/>
          <w:bCs/>
          <w:color w:val="000000"/>
        </w:rPr>
      </w:pPr>
      <w:r>
        <w:rPr>
          <w:rFonts w:eastAsiaTheme="minorHAnsi"/>
          <w:bCs/>
          <w:color w:val="000000"/>
        </w:rPr>
        <w:t>10 CHDO’s serve the entire State;</w:t>
      </w:r>
    </w:p>
    <w:p w:rsidR="00C41BDD" w:rsidRDefault="003C0FC5" w:rsidP="00C41BDD">
      <w:pPr>
        <w:pStyle w:val="ListParagraph"/>
        <w:numPr>
          <w:ilvl w:val="0"/>
          <w:numId w:val="30"/>
        </w:numPr>
        <w:rPr>
          <w:rFonts w:eastAsiaTheme="minorHAnsi"/>
          <w:bCs/>
          <w:color w:val="000000"/>
        </w:rPr>
      </w:pPr>
      <w:r>
        <w:rPr>
          <w:rFonts w:eastAsiaTheme="minorHAnsi"/>
          <w:bCs/>
          <w:color w:val="000000"/>
        </w:rPr>
        <w:t>80 multi-family units to be preserved and/or created;</w:t>
      </w:r>
    </w:p>
    <w:p w:rsidR="003C0FC5" w:rsidRDefault="003C0FC5" w:rsidP="00C41BDD">
      <w:pPr>
        <w:pStyle w:val="ListParagraph"/>
        <w:numPr>
          <w:ilvl w:val="0"/>
          <w:numId w:val="30"/>
        </w:numPr>
        <w:rPr>
          <w:rFonts w:eastAsiaTheme="minorHAnsi"/>
          <w:bCs/>
          <w:color w:val="000000"/>
        </w:rPr>
      </w:pPr>
      <w:r>
        <w:rPr>
          <w:rFonts w:eastAsiaTheme="minorHAnsi"/>
          <w:bCs/>
          <w:color w:val="000000"/>
        </w:rPr>
        <w:t>44 households at &lt;30% area median income (AMI) will be housed;</w:t>
      </w:r>
    </w:p>
    <w:p w:rsidR="003C0FC5" w:rsidRDefault="003C0FC5" w:rsidP="00C41BDD">
      <w:pPr>
        <w:pStyle w:val="ListParagraph"/>
        <w:numPr>
          <w:ilvl w:val="0"/>
          <w:numId w:val="30"/>
        </w:numPr>
        <w:rPr>
          <w:rFonts w:eastAsiaTheme="minorHAnsi"/>
          <w:bCs/>
          <w:color w:val="000000"/>
        </w:rPr>
      </w:pPr>
      <w:r>
        <w:rPr>
          <w:rFonts w:eastAsiaTheme="minorHAnsi"/>
          <w:bCs/>
          <w:color w:val="000000"/>
        </w:rPr>
        <w:t>28 households &gt;30%/&lt;50% AMI will be housed;</w:t>
      </w:r>
    </w:p>
    <w:p w:rsidR="003C0FC5" w:rsidRDefault="003C0FC5" w:rsidP="00C41BDD">
      <w:pPr>
        <w:pStyle w:val="ListParagraph"/>
        <w:numPr>
          <w:ilvl w:val="0"/>
          <w:numId w:val="30"/>
        </w:numPr>
        <w:rPr>
          <w:rFonts w:eastAsiaTheme="minorHAnsi"/>
          <w:bCs/>
          <w:color w:val="000000"/>
        </w:rPr>
      </w:pPr>
      <w:r>
        <w:rPr>
          <w:rFonts w:eastAsiaTheme="minorHAnsi"/>
          <w:bCs/>
          <w:color w:val="000000"/>
        </w:rPr>
        <w:t>6 households &gt;50%/&lt;80% AMI will be housed; and</w:t>
      </w:r>
    </w:p>
    <w:p w:rsidR="003C0FC5" w:rsidRDefault="003C0FC5" w:rsidP="00C41BDD">
      <w:pPr>
        <w:pStyle w:val="ListParagraph"/>
        <w:numPr>
          <w:ilvl w:val="0"/>
          <w:numId w:val="30"/>
        </w:numPr>
        <w:rPr>
          <w:rFonts w:eastAsiaTheme="minorHAnsi"/>
          <w:bCs/>
          <w:color w:val="000000"/>
        </w:rPr>
      </w:pPr>
      <w:r>
        <w:rPr>
          <w:rFonts w:eastAsiaTheme="minorHAnsi"/>
          <w:bCs/>
          <w:color w:val="000000"/>
        </w:rPr>
        <w:t>132 units will meet Energy Star Rating.</w:t>
      </w:r>
    </w:p>
    <w:p w:rsidR="003C0FC5" w:rsidRDefault="003C0FC5" w:rsidP="003C0FC5">
      <w:pPr>
        <w:rPr>
          <w:rFonts w:eastAsiaTheme="minorHAnsi"/>
          <w:bCs/>
          <w:color w:val="000000"/>
        </w:rPr>
      </w:pPr>
    </w:p>
    <w:p w:rsidR="003C0FC5" w:rsidRDefault="003C0FC5" w:rsidP="003C0FC5">
      <w:pPr>
        <w:rPr>
          <w:rFonts w:eastAsiaTheme="minorHAnsi"/>
          <w:bCs/>
          <w:color w:val="000000"/>
        </w:rPr>
      </w:pPr>
      <w:r>
        <w:rPr>
          <w:rFonts w:eastAsiaTheme="minorHAnsi"/>
          <w:bCs/>
          <w:color w:val="000000"/>
        </w:rPr>
        <w:t>Projects Accomplishments for FY2013:</w:t>
      </w:r>
    </w:p>
    <w:p w:rsidR="003C0FC5" w:rsidRDefault="003C0FC5" w:rsidP="003C0FC5">
      <w:pPr>
        <w:pStyle w:val="ListParagraph"/>
        <w:numPr>
          <w:ilvl w:val="0"/>
          <w:numId w:val="31"/>
        </w:numPr>
        <w:rPr>
          <w:rFonts w:eastAsiaTheme="minorHAnsi"/>
          <w:bCs/>
          <w:color w:val="000000"/>
        </w:rPr>
      </w:pPr>
      <w:r>
        <w:rPr>
          <w:rFonts w:eastAsiaTheme="minorHAnsi"/>
          <w:bCs/>
          <w:color w:val="000000"/>
        </w:rPr>
        <w:t>10 CHDO’s serve the entire State;</w:t>
      </w:r>
    </w:p>
    <w:p w:rsidR="003C0FC5" w:rsidRDefault="003C0FC5" w:rsidP="003C0FC5">
      <w:pPr>
        <w:pStyle w:val="ListParagraph"/>
        <w:numPr>
          <w:ilvl w:val="0"/>
          <w:numId w:val="31"/>
        </w:numPr>
        <w:rPr>
          <w:rFonts w:eastAsiaTheme="minorHAnsi"/>
          <w:bCs/>
          <w:color w:val="000000"/>
        </w:rPr>
      </w:pPr>
      <w:r>
        <w:rPr>
          <w:rFonts w:eastAsiaTheme="minorHAnsi"/>
          <w:bCs/>
          <w:color w:val="000000"/>
        </w:rPr>
        <w:t>75 multi-family units to be preserved and/or created;</w:t>
      </w:r>
    </w:p>
    <w:p w:rsidR="003C0FC5" w:rsidRDefault="003C0FC5" w:rsidP="003C0FC5">
      <w:pPr>
        <w:pStyle w:val="ListParagraph"/>
        <w:numPr>
          <w:ilvl w:val="0"/>
          <w:numId w:val="31"/>
        </w:numPr>
        <w:rPr>
          <w:rFonts w:eastAsiaTheme="minorHAnsi"/>
          <w:bCs/>
          <w:color w:val="000000"/>
        </w:rPr>
      </w:pPr>
      <w:r>
        <w:rPr>
          <w:rFonts w:eastAsiaTheme="minorHAnsi"/>
          <w:bCs/>
          <w:color w:val="000000"/>
        </w:rPr>
        <w:t>42 households at &lt;30% AMI will be housed;</w:t>
      </w:r>
    </w:p>
    <w:p w:rsidR="003C0FC5" w:rsidRDefault="003C0FC5" w:rsidP="003C0FC5">
      <w:pPr>
        <w:pStyle w:val="ListParagraph"/>
        <w:numPr>
          <w:ilvl w:val="0"/>
          <w:numId w:val="31"/>
        </w:numPr>
        <w:rPr>
          <w:rFonts w:eastAsiaTheme="minorHAnsi"/>
          <w:bCs/>
          <w:color w:val="000000"/>
        </w:rPr>
      </w:pPr>
      <w:r>
        <w:rPr>
          <w:rFonts w:eastAsiaTheme="minorHAnsi"/>
          <w:bCs/>
          <w:color w:val="000000"/>
        </w:rPr>
        <w:t>24 households at &gt;30%/&lt;50% AMI will be housed;</w:t>
      </w:r>
    </w:p>
    <w:p w:rsidR="003C0FC5" w:rsidRDefault="003C0FC5" w:rsidP="003C0FC5">
      <w:pPr>
        <w:pStyle w:val="ListParagraph"/>
        <w:numPr>
          <w:ilvl w:val="0"/>
          <w:numId w:val="31"/>
        </w:numPr>
        <w:rPr>
          <w:rFonts w:eastAsiaTheme="minorHAnsi"/>
          <w:bCs/>
          <w:color w:val="000000"/>
        </w:rPr>
      </w:pPr>
      <w:r>
        <w:rPr>
          <w:rFonts w:eastAsiaTheme="minorHAnsi"/>
          <w:bCs/>
          <w:color w:val="000000"/>
        </w:rPr>
        <w:t>9 households &gt;50%/&lt;80% AMI will be housed</w:t>
      </w:r>
      <w:r w:rsidR="00EA6550">
        <w:rPr>
          <w:rFonts w:eastAsiaTheme="minorHAnsi"/>
          <w:bCs/>
          <w:color w:val="000000"/>
        </w:rPr>
        <w:t xml:space="preserve">; and </w:t>
      </w:r>
    </w:p>
    <w:p w:rsidR="003C0FC5" w:rsidRDefault="00EA6550" w:rsidP="003C0FC5">
      <w:pPr>
        <w:pStyle w:val="ListParagraph"/>
        <w:numPr>
          <w:ilvl w:val="0"/>
          <w:numId w:val="31"/>
        </w:numPr>
        <w:rPr>
          <w:rFonts w:eastAsiaTheme="minorHAnsi"/>
          <w:bCs/>
          <w:color w:val="000000"/>
        </w:rPr>
      </w:pPr>
      <w:r>
        <w:rPr>
          <w:rFonts w:eastAsiaTheme="minorHAnsi"/>
          <w:bCs/>
          <w:color w:val="000000"/>
        </w:rPr>
        <w:t>126 units will meet Energy Star Rating.</w:t>
      </w:r>
    </w:p>
    <w:p w:rsidR="00EA6550" w:rsidRDefault="00EA6550" w:rsidP="00EA6550">
      <w:pPr>
        <w:rPr>
          <w:rFonts w:eastAsiaTheme="minorHAnsi"/>
          <w:bCs/>
          <w:color w:val="000000"/>
        </w:rPr>
      </w:pPr>
    </w:p>
    <w:p w:rsidR="004235E3" w:rsidRPr="00EA6550" w:rsidRDefault="004235E3" w:rsidP="00EA6550">
      <w:pPr>
        <w:rPr>
          <w:rFonts w:eastAsiaTheme="minorHAnsi"/>
          <w:bCs/>
          <w:color w:val="000000"/>
        </w:rPr>
      </w:pPr>
      <w:r>
        <w:t>Since the inception of the HOME Program in 1992, over 264 HOME Projects have been funded</w:t>
      </w:r>
      <w:r w:rsidR="00294C83">
        <w:t xml:space="preserve"> for 1747 units of affordable housing</w:t>
      </w:r>
      <w:r>
        <w:t>.</w:t>
      </w:r>
    </w:p>
    <w:p w:rsidR="006D719F" w:rsidRDefault="007F0920">
      <w:pPr>
        <w:tabs>
          <w:tab w:val="left" w:pos="5542"/>
        </w:tabs>
        <w:autoSpaceDE w:val="0"/>
        <w:autoSpaceDN w:val="0"/>
        <w:adjustRightInd w:val="0"/>
        <w:rPr>
          <w:rFonts w:eastAsiaTheme="minorHAnsi"/>
          <w:bCs/>
          <w:color w:val="000000"/>
        </w:rPr>
      </w:pPr>
      <w:r>
        <w:rPr>
          <w:rFonts w:eastAsiaTheme="minorHAnsi"/>
          <w:bCs/>
          <w:color w:val="000000"/>
        </w:rPr>
        <w:tab/>
      </w:r>
    </w:p>
    <w:p w:rsidR="00FB34C7" w:rsidRDefault="00D03FC6" w:rsidP="009D4DAF">
      <w:r w:rsidRPr="0021621D">
        <w:rPr>
          <w:b/>
          <w:u w:val="single"/>
        </w:rPr>
        <w:t>Neighborhood Stabilization Program (NSP1 and NSP3):</w:t>
      </w:r>
      <w:r w:rsidR="00432E6B" w:rsidRPr="00D84890">
        <w:t xml:space="preserve"> NSP funds were provided by the Federal Government to address the housing foreclosure crisis through acquisition and redevelopment of foreclosed, blighted and abandoned properties</w:t>
      </w:r>
      <w:r w:rsidR="00C819D5">
        <w:t xml:space="preserve">.  These properties are </w:t>
      </w:r>
      <w:r w:rsidR="002F5B01">
        <w:t xml:space="preserve">brought back </w:t>
      </w:r>
      <w:r w:rsidR="006B5AF3">
        <w:t>into use</w:t>
      </w:r>
      <w:r w:rsidR="002F5B01">
        <w:t xml:space="preserve"> and made available to low and moderate income households.</w:t>
      </w:r>
      <w:r w:rsidR="00C819D5">
        <w:t xml:space="preserve">  Measures include the number of units acquired, sold and made permanently affordable as well</w:t>
      </w:r>
      <w:r w:rsidR="00173A76">
        <w:t xml:space="preserve"> as</w:t>
      </w:r>
      <w:r w:rsidR="00C819D5">
        <w:t xml:space="preserve"> the number of households with new homes</w:t>
      </w:r>
      <w:r w:rsidR="00C819D5" w:rsidRPr="00BF0500">
        <w:t>.</w:t>
      </w:r>
      <w:r w:rsidR="00FB7077" w:rsidRPr="00BF0500">
        <w:t xml:space="preserve">  Th</w:t>
      </w:r>
      <w:r w:rsidR="0010541C" w:rsidRPr="00BF0500">
        <w:t>ese are</w:t>
      </w:r>
      <w:r w:rsidR="00FB7077" w:rsidRPr="00BF0500">
        <w:t xml:space="preserve"> not ongoing program</w:t>
      </w:r>
      <w:r w:rsidR="0010541C" w:rsidRPr="00BF0500">
        <w:t>s</w:t>
      </w:r>
      <w:r w:rsidR="00FB7077" w:rsidRPr="00BF0500">
        <w:t>.</w:t>
      </w:r>
      <w:r w:rsidR="009D4DAF" w:rsidRPr="00BF0500">
        <w:t xml:space="preserve">  </w:t>
      </w:r>
      <w:r w:rsidR="00937E78" w:rsidRPr="00BF0500">
        <w:t xml:space="preserve">In 2009, </w:t>
      </w:r>
      <w:r w:rsidR="008579C7" w:rsidRPr="00BF0500">
        <w:t xml:space="preserve">the State received </w:t>
      </w:r>
      <w:r w:rsidR="00937E78" w:rsidRPr="00BF0500">
        <w:t>$19</w:t>
      </w:r>
      <w:r w:rsidR="008579C7" w:rsidRPr="00BF0500">
        <w:t>.6</w:t>
      </w:r>
      <w:r w:rsidR="00937E78" w:rsidRPr="00BF0500">
        <w:t xml:space="preserve"> million in federal Neighborhood Stabilization funds to be used to buy</w:t>
      </w:r>
      <w:r w:rsidR="00937E78" w:rsidRPr="00D84890">
        <w:t xml:space="preserve"> and resell foreclosed </w:t>
      </w:r>
      <w:r w:rsidR="008579C7" w:rsidRPr="00D84890">
        <w:t xml:space="preserve">single-family </w:t>
      </w:r>
      <w:r w:rsidR="00937E78" w:rsidRPr="00D84890">
        <w:t>homes</w:t>
      </w:r>
      <w:r w:rsidR="00FB34C7" w:rsidRPr="00D84890">
        <w:t xml:space="preserve">, multi-family foreclosed buildings to preserve </w:t>
      </w:r>
      <w:r w:rsidR="00BE7ADA" w:rsidRPr="00D84890">
        <w:t>affordable housing units</w:t>
      </w:r>
      <w:r w:rsidR="00FB34C7" w:rsidRPr="00D84890">
        <w:t>,</w:t>
      </w:r>
      <w:r w:rsidR="00937E78" w:rsidRPr="00D84890">
        <w:t xml:space="preserve"> and to </w:t>
      </w:r>
      <w:r w:rsidR="00FB34C7" w:rsidRPr="00D84890">
        <w:t xml:space="preserve">acquire and </w:t>
      </w:r>
      <w:r w:rsidR="00937E78" w:rsidRPr="00D84890">
        <w:t>refurbish</w:t>
      </w:r>
      <w:r w:rsidR="00FB34C7" w:rsidRPr="00D84890">
        <w:t xml:space="preserve"> vacant and abandoned </w:t>
      </w:r>
      <w:r w:rsidR="00937E78" w:rsidRPr="00D84890">
        <w:t>buildings</w:t>
      </w:r>
      <w:r w:rsidR="00FB34C7" w:rsidRPr="00D84890">
        <w:t xml:space="preserve"> to create additional affordable housing units</w:t>
      </w:r>
      <w:r w:rsidR="00ED76F6">
        <w:t xml:space="preserve"> in targeted communities based on need.</w:t>
      </w:r>
    </w:p>
    <w:p w:rsidR="00EA6550" w:rsidRDefault="00EA6550" w:rsidP="009D4DAF"/>
    <w:p w:rsidR="00EA6550" w:rsidRDefault="00EA6550" w:rsidP="009D4DAF">
      <w:r w:rsidRPr="00BF0500">
        <w:t>NSP 1 Program ending date is 3/31/13 and NSP3 Program ending date is 3/3/14</w:t>
      </w:r>
      <w:r w:rsidR="00BF0500">
        <w:t>.</w:t>
      </w:r>
    </w:p>
    <w:p w:rsidR="009D4DAF" w:rsidRPr="00D84890" w:rsidRDefault="009D4DAF" w:rsidP="009D4DAF"/>
    <w:p w:rsidR="009D4DAF" w:rsidRDefault="000B58A2" w:rsidP="002F5B01">
      <w:pPr>
        <w:numPr>
          <w:ilvl w:val="0"/>
          <w:numId w:val="19"/>
        </w:numPr>
      </w:pPr>
      <w:r w:rsidRPr="00BF0500">
        <w:rPr>
          <w:b/>
        </w:rPr>
        <w:t>Accomplish</w:t>
      </w:r>
      <w:r w:rsidR="00F00C8E" w:rsidRPr="00BF0500">
        <w:rPr>
          <w:b/>
        </w:rPr>
        <w:t>ments</w:t>
      </w:r>
      <w:r w:rsidRPr="00BF0500">
        <w:rPr>
          <w:b/>
        </w:rPr>
        <w:t xml:space="preserve"> to date</w:t>
      </w:r>
      <w:r>
        <w:t xml:space="preserve"> include</w:t>
      </w:r>
      <w:r w:rsidR="00BE7ADA" w:rsidRPr="00D84890">
        <w:t xml:space="preserve"> </w:t>
      </w:r>
      <w:r w:rsidR="00F11090">
        <w:t xml:space="preserve">the acquisition of </w:t>
      </w:r>
      <w:r w:rsidR="001D7DDB" w:rsidRPr="00D84890">
        <w:t>4</w:t>
      </w:r>
      <w:r w:rsidR="00923DBC">
        <w:t>9</w:t>
      </w:r>
      <w:r w:rsidR="001D7DDB">
        <w:t xml:space="preserve"> </w:t>
      </w:r>
      <w:r w:rsidR="00BE7ADA" w:rsidRPr="00D84890">
        <w:t>single family homes</w:t>
      </w:r>
      <w:r w:rsidR="00F11090">
        <w:t xml:space="preserve">, sale of 34 with </w:t>
      </w:r>
      <w:r w:rsidR="00BE7ADA" w:rsidRPr="00D84890">
        <w:t>permanent affordability covenants</w:t>
      </w:r>
      <w:r w:rsidR="00386759">
        <w:t xml:space="preserve"> to households with an average of 75% of area median income</w:t>
      </w:r>
      <w:r w:rsidR="001D7DDB">
        <w:t xml:space="preserve">, and another </w:t>
      </w:r>
      <w:r w:rsidR="00923DBC">
        <w:t>4</w:t>
      </w:r>
      <w:r w:rsidR="001D7DDB">
        <w:t xml:space="preserve"> under </w:t>
      </w:r>
      <w:r w:rsidR="00844BAD">
        <w:t>contract for re-sale</w:t>
      </w:r>
      <w:r w:rsidR="00BE7ADA" w:rsidRPr="00D84890">
        <w:t xml:space="preserve">; </w:t>
      </w:r>
      <w:r w:rsidR="0081596A">
        <w:t>54</w:t>
      </w:r>
      <w:r w:rsidR="0081596A" w:rsidRPr="00D84890">
        <w:t xml:space="preserve"> </w:t>
      </w:r>
      <w:r w:rsidR="00BE7ADA" w:rsidRPr="00D84890">
        <w:t xml:space="preserve">units of multi-family housing has been preserved; and </w:t>
      </w:r>
      <w:r w:rsidR="0081596A">
        <w:t>34</w:t>
      </w:r>
      <w:r w:rsidR="00BC4516" w:rsidRPr="00D84890">
        <w:t xml:space="preserve"> </w:t>
      </w:r>
      <w:r w:rsidR="00BE7ADA" w:rsidRPr="00D84890">
        <w:t>new units have been completed and leased</w:t>
      </w:r>
      <w:r w:rsidR="0081596A">
        <w:t xml:space="preserve">.  </w:t>
      </w:r>
      <w:r w:rsidR="00BC4516">
        <w:t>The re-sale of the com</w:t>
      </w:r>
      <w:r w:rsidR="00A44F3D">
        <w:t xml:space="preserve">pleted homes has </w:t>
      </w:r>
      <w:r w:rsidR="00F00C8E">
        <w:t>generated</w:t>
      </w:r>
      <w:r w:rsidR="00A44F3D">
        <w:t xml:space="preserve"> Program Income in excess of $</w:t>
      </w:r>
      <w:r w:rsidR="00923DBC">
        <w:t>5M</w:t>
      </w:r>
      <w:r w:rsidR="00A44F3D">
        <w:t xml:space="preserve"> which has afforded the additional acquisition of homes and the level of renovations to ensure long-term sustainable affo</w:t>
      </w:r>
      <w:r w:rsidR="00ED76F6">
        <w:t>rdability for the new homeowners through the implementation of significant energy retrofit measures</w:t>
      </w:r>
      <w:r w:rsidR="009D4DAF">
        <w:t xml:space="preserve">.  </w:t>
      </w:r>
      <w:r w:rsidR="00F00C8E">
        <w:t xml:space="preserve"> </w:t>
      </w:r>
    </w:p>
    <w:p w:rsidR="00C41BDD" w:rsidRDefault="00C41BDD" w:rsidP="002F5B01">
      <w:pPr>
        <w:numPr>
          <w:ilvl w:val="0"/>
          <w:numId w:val="19"/>
        </w:numPr>
      </w:pPr>
      <w:r w:rsidRPr="00AD5AFA">
        <w:rPr>
          <w:b/>
        </w:rPr>
        <w:t>Accomplishments projected to be achieved in FY201</w:t>
      </w:r>
      <w:r w:rsidR="00AD5AFA" w:rsidRPr="00AD5AFA">
        <w:rPr>
          <w:b/>
        </w:rPr>
        <w:t>2</w:t>
      </w:r>
      <w:r>
        <w:t xml:space="preserve"> include the acquisition </w:t>
      </w:r>
      <w:r w:rsidRPr="00673CFD">
        <w:t xml:space="preserve">of </w:t>
      </w:r>
      <w:r w:rsidR="00030F26" w:rsidRPr="00673CFD">
        <w:t xml:space="preserve">3 additional </w:t>
      </w:r>
      <w:r w:rsidRPr="00673CFD">
        <w:t>single</w:t>
      </w:r>
      <w:r>
        <w:t xml:space="preserve"> family homes, sale </w:t>
      </w:r>
      <w:r w:rsidRPr="00673CFD">
        <w:t xml:space="preserve">of </w:t>
      </w:r>
      <w:r w:rsidR="00030F26" w:rsidRPr="00673CFD">
        <w:t>6</w:t>
      </w:r>
      <w:r w:rsidRPr="00673CFD">
        <w:t xml:space="preserve"> w</w:t>
      </w:r>
      <w:r>
        <w:t xml:space="preserve">ith </w:t>
      </w:r>
      <w:r w:rsidR="00AD5AFA" w:rsidRPr="00D84890">
        <w:t>permanent affordability covenants</w:t>
      </w:r>
      <w:r w:rsidR="00AD5AFA">
        <w:t xml:space="preserve"> to households with an average of 75% of area median income, and another </w:t>
      </w:r>
      <w:r w:rsidR="00C00F06">
        <w:t>2</w:t>
      </w:r>
      <w:r w:rsidR="00AD5AFA">
        <w:t xml:space="preserve"> under contract for re-sale</w:t>
      </w:r>
      <w:r w:rsidR="00C00F06">
        <w:t xml:space="preserve">.  </w:t>
      </w:r>
      <w:r w:rsidR="00AD5AFA">
        <w:t xml:space="preserve">The re-sale of the completed homes </w:t>
      </w:r>
      <w:r w:rsidR="00C00F06">
        <w:t>will generate</w:t>
      </w:r>
      <w:r w:rsidR="00AD5AFA">
        <w:t xml:space="preserve"> Program Income </w:t>
      </w:r>
      <w:r w:rsidR="00C00F06">
        <w:t xml:space="preserve">of approximately $1.2M to allow </w:t>
      </w:r>
      <w:r w:rsidR="00AD5AFA">
        <w:t>the additional acquisition of homes and the level of renovations to ensure long-term sustainable affordability for the new homeowners through the implementation of significant energy retrofit measures</w:t>
      </w:r>
      <w:r w:rsidR="00C00F06">
        <w:t>, and mortgage subsidies</w:t>
      </w:r>
      <w:r w:rsidR="00AD5AFA">
        <w:t xml:space="preserve">.  </w:t>
      </w:r>
    </w:p>
    <w:p w:rsidR="00F11090" w:rsidRDefault="00AD5AFA" w:rsidP="00673CFD">
      <w:pPr>
        <w:numPr>
          <w:ilvl w:val="0"/>
          <w:numId w:val="19"/>
        </w:numPr>
      </w:pPr>
      <w:r w:rsidRPr="00673CFD">
        <w:rPr>
          <w:b/>
        </w:rPr>
        <w:t>Accomplishments projected to be achieved in FY2013</w:t>
      </w:r>
      <w:r w:rsidR="00BF0500">
        <w:rPr>
          <w:b/>
        </w:rPr>
        <w:t xml:space="preserve"> </w:t>
      </w:r>
      <w:r>
        <w:t xml:space="preserve">include the acquisition </w:t>
      </w:r>
      <w:r w:rsidRPr="00673CFD">
        <w:t xml:space="preserve">of </w:t>
      </w:r>
      <w:r w:rsidR="00B97DD8">
        <w:t>2</w:t>
      </w:r>
      <w:r w:rsidR="00C00F06" w:rsidRPr="00673CFD">
        <w:t xml:space="preserve"> additional</w:t>
      </w:r>
      <w:r w:rsidRPr="00673CFD">
        <w:t xml:space="preserve"> single</w:t>
      </w:r>
      <w:r>
        <w:t xml:space="preserve"> family homes, sale </w:t>
      </w:r>
      <w:r w:rsidRPr="00673CFD">
        <w:t xml:space="preserve">of  </w:t>
      </w:r>
      <w:r w:rsidR="00B97DD8">
        <w:t>11</w:t>
      </w:r>
      <w:r w:rsidRPr="00673CFD">
        <w:t xml:space="preserve">  w</w:t>
      </w:r>
      <w:r>
        <w:t xml:space="preserve">ith </w:t>
      </w:r>
      <w:r w:rsidRPr="00D84890">
        <w:t>permanent affordability covenants</w:t>
      </w:r>
      <w:r>
        <w:t xml:space="preserve"> to households with an avera</w:t>
      </w:r>
      <w:r w:rsidR="00C00F06">
        <w:t>ge of 80% of area median income</w:t>
      </w:r>
      <w:r w:rsidRPr="00D84890">
        <w:t xml:space="preserve">; </w:t>
      </w:r>
      <w:r w:rsidR="00C00F06">
        <w:t>4</w:t>
      </w:r>
      <w:r w:rsidR="00673CFD">
        <w:t>1</w:t>
      </w:r>
      <w:r w:rsidRPr="00D84890">
        <w:t xml:space="preserve"> units of multi-family housing </w:t>
      </w:r>
      <w:r w:rsidR="00C00F06">
        <w:t>will be</w:t>
      </w:r>
      <w:r w:rsidRPr="00D84890">
        <w:t xml:space="preserve"> preserved; and </w:t>
      </w:r>
      <w:r w:rsidR="00673CFD">
        <w:t xml:space="preserve">6 </w:t>
      </w:r>
      <w:r w:rsidRPr="00D84890">
        <w:t xml:space="preserve">new units </w:t>
      </w:r>
      <w:r w:rsidR="00673CFD">
        <w:t>will be</w:t>
      </w:r>
      <w:r w:rsidRPr="00D84890">
        <w:t xml:space="preserve"> completed and leased</w:t>
      </w:r>
      <w:r>
        <w:t xml:space="preserve">.  </w:t>
      </w:r>
    </w:p>
    <w:p w:rsidR="00673CFD" w:rsidRDefault="00673CFD" w:rsidP="00673CFD"/>
    <w:p w:rsidR="00F11090" w:rsidRDefault="00BC4516" w:rsidP="00F11090">
      <w:r>
        <w:t>I</w:t>
      </w:r>
      <w:r w:rsidR="00DB00F2">
        <w:t>n 2011</w:t>
      </w:r>
      <w:r w:rsidR="00ED76F6">
        <w:t xml:space="preserve"> under NSP3</w:t>
      </w:r>
      <w:r w:rsidR="00FB7077">
        <w:t>, Vermont received an additional $</w:t>
      </w:r>
      <w:r w:rsidR="001D7DDB">
        <w:t>5</w:t>
      </w:r>
      <w:r w:rsidR="00F11090">
        <w:t xml:space="preserve"> million for that </w:t>
      </w:r>
      <w:r>
        <w:t>has provided the opportunity to further address the foreclosures in Vermont of single-family homes and the redevelopment of blighted multi-family properties</w:t>
      </w:r>
      <w:r w:rsidR="00ED76F6">
        <w:t xml:space="preserve">.  </w:t>
      </w:r>
    </w:p>
    <w:p w:rsidR="00F11090" w:rsidRDefault="00F11090" w:rsidP="00F11090"/>
    <w:p w:rsidR="00F11090" w:rsidRDefault="00923DBC" w:rsidP="00F11090">
      <w:pPr>
        <w:pStyle w:val="ListParagraph"/>
        <w:numPr>
          <w:ilvl w:val="0"/>
          <w:numId w:val="19"/>
        </w:numPr>
      </w:pPr>
      <w:r>
        <w:t>Since the Award from HUD in March 2011, 9 homes have been acquired, with another 4 under contract to close</w:t>
      </w:r>
      <w:r w:rsidR="009D4DAF">
        <w:t xml:space="preserve">.  </w:t>
      </w:r>
      <w:r>
        <w:t xml:space="preserve"> </w:t>
      </w:r>
      <w:r w:rsidR="00F11090">
        <w:t xml:space="preserve">One </w:t>
      </w:r>
      <w:r>
        <w:t>home ha</w:t>
      </w:r>
      <w:r w:rsidR="00F11090">
        <w:t xml:space="preserve">s </w:t>
      </w:r>
      <w:r>
        <w:t>been completed and is currently being marketed for resale and should be sold within the next 30 days.  Vermont has experienced an increase in the number of foreclosed homes becoming available for acquisition</w:t>
      </w:r>
      <w:r w:rsidR="00F11090">
        <w:t xml:space="preserve">.  </w:t>
      </w:r>
    </w:p>
    <w:p w:rsidR="00386759" w:rsidRDefault="00F11090" w:rsidP="00F11090">
      <w:pPr>
        <w:pStyle w:val="ListParagraph"/>
        <w:numPr>
          <w:ilvl w:val="0"/>
          <w:numId w:val="19"/>
        </w:numPr>
      </w:pPr>
      <w:r>
        <w:t>The state’s five Home</w:t>
      </w:r>
      <w:r w:rsidR="00BF0500">
        <w:t xml:space="preserve"> </w:t>
      </w:r>
      <w:r>
        <w:t>Ow</w:t>
      </w:r>
      <w:r w:rsidR="00386759">
        <w:t xml:space="preserve">nership Centers (HOC’s) </w:t>
      </w:r>
      <w:r>
        <w:t xml:space="preserve">play a critical role in </w:t>
      </w:r>
      <w:r w:rsidR="00386759">
        <w:t>acquiring the homes</w:t>
      </w:r>
      <w:r>
        <w:t xml:space="preserve">, </w:t>
      </w:r>
      <w:r w:rsidR="00386759">
        <w:t>overseeing the work of the contractors, and bringing about the re-sales with the new homeowners.</w:t>
      </w:r>
    </w:p>
    <w:p w:rsidR="00AD5AFA" w:rsidRDefault="00AD5AFA" w:rsidP="00673CFD">
      <w:pPr>
        <w:pStyle w:val="NoSpacing"/>
        <w:numPr>
          <w:ilvl w:val="0"/>
          <w:numId w:val="19"/>
        </w:numPr>
        <w:rPr>
          <w:b/>
        </w:rPr>
      </w:pPr>
      <w:r>
        <w:rPr>
          <w:b/>
        </w:rPr>
        <w:t>Accomplishments projected to be achieved in FY2012</w:t>
      </w:r>
      <w:r w:rsidR="00673CFD">
        <w:rPr>
          <w:b/>
        </w:rPr>
        <w:t xml:space="preserve"> </w:t>
      </w:r>
      <w:r w:rsidR="00673CFD">
        <w:t xml:space="preserve">include the acquisition </w:t>
      </w:r>
      <w:r w:rsidR="00673CFD" w:rsidRPr="00B97DD8">
        <w:t xml:space="preserve">of </w:t>
      </w:r>
      <w:r w:rsidR="00B97DD8" w:rsidRPr="00B97DD8">
        <w:t xml:space="preserve">5 </w:t>
      </w:r>
      <w:r w:rsidR="00673CFD" w:rsidRPr="00B97DD8">
        <w:t>additional</w:t>
      </w:r>
      <w:r w:rsidR="00673CFD">
        <w:t xml:space="preserve"> single family homes, the sale </w:t>
      </w:r>
      <w:r w:rsidR="00673CFD" w:rsidRPr="00B97DD8">
        <w:t xml:space="preserve">of  </w:t>
      </w:r>
      <w:r w:rsidR="00B97DD8" w:rsidRPr="00B97DD8">
        <w:t>3</w:t>
      </w:r>
      <w:r w:rsidR="00673CFD" w:rsidRPr="00B97DD8">
        <w:t xml:space="preserve"> with</w:t>
      </w:r>
      <w:r w:rsidR="00673CFD">
        <w:t xml:space="preserve"> permanent affordability covenants to households with an average of 75% of area median income, and another 2 under contract for re-sale.  The re-sale of the completed homes will generate Program Income of approximately </w:t>
      </w:r>
      <w:r w:rsidR="00673CFD" w:rsidRPr="00B97DD8">
        <w:t>$1.</w:t>
      </w:r>
      <w:r w:rsidR="00B97DD8" w:rsidRPr="00B97DD8">
        <w:t>6</w:t>
      </w:r>
      <w:r w:rsidR="00673CFD" w:rsidRPr="00B97DD8">
        <w:t>M</w:t>
      </w:r>
      <w:r w:rsidR="00673CFD">
        <w:t xml:space="preserve"> to allow the additional acquisition of homes and the level of renovations to ensure long-term sustainable affordability for the new homeowners through the implementation of significant energy retrofit measures, and mortgage subsidies.  </w:t>
      </w:r>
    </w:p>
    <w:p w:rsidR="00AD5AFA" w:rsidRDefault="00AD5AFA" w:rsidP="00673CFD">
      <w:pPr>
        <w:pStyle w:val="NoSpacing"/>
        <w:numPr>
          <w:ilvl w:val="0"/>
          <w:numId w:val="19"/>
        </w:numPr>
      </w:pPr>
      <w:r>
        <w:rPr>
          <w:b/>
        </w:rPr>
        <w:t>Accomplishments projected to be achieved in FY2013</w:t>
      </w:r>
      <w:r w:rsidR="00673CFD" w:rsidRPr="00673CFD">
        <w:t xml:space="preserve"> </w:t>
      </w:r>
      <w:r w:rsidR="00673CFD">
        <w:t xml:space="preserve">include the acquisition </w:t>
      </w:r>
      <w:r w:rsidR="00673CFD" w:rsidRPr="00673CFD">
        <w:t xml:space="preserve">of </w:t>
      </w:r>
      <w:r w:rsidR="00B97DD8">
        <w:t xml:space="preserve">8 </w:t>
      </w:r>
      <w:r w:rsidR="00673CFD" w:rsidRPr="00673CFD">
        <w:t>additional single</w:t>
      </w:r>
      <w:r w:rsidR="00673CFD">
        <w:t xml:space="preserve"> family homes, sale </w:t>
      </w:r>
      <w:r w:rsidR="00673CFD" w:rsidRPr="00673CFD">
        <w:t xml:space="preserve">of  </w:t>
      </w:r>
      <w:r w:rsidR="00B97DD8">
        <w:t>7</w:t>
      </w:r>
      <w:r w:rsidR="00673CFD" w:rsidRPr="00673CFD">
        <w:t xml:space="preserve">   w</w:t>
      </w:r>
      <w:r w:rsidR="00673CFD">
        <w:t xml:space="preserve">ith </w:t>
      </w:r>
      <w:r w:rsidR="00673CFD" w:rsidRPr="00D84890">
        <w:t>permanent affordability covenants</w:t>
      </w:r>
      <w:r w:rsidR="00673CFD">
        <w:t xml:space="preserve"> to households with an average of 80% of area median income</w:t>
      </w:r>
      <w:r w:rsidR="00673CFD" w:rsidRPr="00D84890">
        <w:t xml:space="preserve">; </w:t>
      </w:r>
      <w:r w:rsidR="00673CFD">
        <w:t>41</w:t>
      </w:r>
      <w:r w:rsidR="00673CFD" w:rsidRPr="00D84890">
        <w:t xml:space="preserve"> units of multi-family housing </w:t>
      </w:r>
      <w:r w:rsidR="00673CFD">
        <w:t>will be</w:t>
      </w:r>
      <w:r w:rsidR="00673CFD" w:rsidRPr="00D84890">
        <w:t xml:space="preserve"> preserved; and </w:t>
      </w:r>
      <w:r w:rsidR="00673CFD">
        <w:t xml:space="preserve">6 </w:t>
      </w:r>
      <w:r w:rsidR="00673CFD" w:rsidRPr="00D84890">
        <w:t xml:space="preserve">new units </w:t>
      </w:r>
      <w:r w:rsidR="00673CFD">
        <w:t>will be</w:t>
      </w:r>
      <w:r w:rsidR="00673CFD" w:rsidRPr="00D84890">
        <w:t xml:space="preserve"> completed and leased</w:t>
      </w:r>
      <w:r w:rsidR="00673CFD">
        <w:t xml:space="preserve">.  </w:t>
      </w:r>
    </w:p>
    <w:p w:rsidR="00673CFD" w:rsidRPr="00673CFD" w:rsidRDefault="00673CFD" w:rsidP="00673CFD">
      <w:pPr>
        <w:pStyle w:val="NoSpacing"/>
        <w:rPr>
          <w:b/>
        </w:rPr>
      </w:pPr>
    </w:p>
    <w:p w:rsidR="0010541C" w:rsidRPr="00AD5AFA" w:rsidRDefault="00386759" w:rsidP="00AD5AFA">
      <w:pPr>
        <w:spacing w:after="200" w:line="276" w:lineRule="auto"/>
        <w:rPr>
          <w:b/>
        </w:rPr>
      </w:pPr>
      <w:r>
        <w:t>To date, over 900 contractors have been employed as a result of the investment of the NSP1 and NPS3 funds</w:t>
      </w:r>
      <w:r w:rsidR="00BA5EB3">
        <w:t xml:space="preserve">, with 28% of the contractors reporting they had no work prior to the NSP contracts.  </w:t>
      </w:r>
      <w:r w:rsidR="00923DBC">
        <w:t xml:space="preserve">  </w:t>
      </w:r>
    </w:p>
    <w:p w:rsidR="0039680F" w:rsidRDefault="00FB2836" w:rsidP="00BF0500">
      <w:pPr>
        <w:spacing w:after="200" w:line="276" w:lineRule="auto"/>
        <w:rPr>
          <w:b/>
          <w:u w:val="single"/>
        </w:rPr>
      </w:pPr>
      <w:r w:rsidRPr="00524AA7">
        <w:rPr>
          <w:b/>
          <w:u w:val="single"/>
        </w:rPr>
        <w:t>Vermont Community Development Program</w:t>
      </w:r>
    </w:p>
    <w:p w:rsidR="00FF7A25" w:rsidRDefault="00FB7077" w:rsidP="00FB2836">
      <w:pPr>
        <w:autoSpaceDE w:val="0"/>
        <w:autoSpaceDN w:val="0"/>
      </w:pPr>
      <w:r>
        <w:t xml:space="preserve">Vermont receives an annual allocation of Community Development Block Grant funds from HUD which DEHCD administers through the Vermont Community Development Program.  </w:t>
      </w:r>
      <w:r w:rsidR="00DA5EBA">
        <w:t xml:space="preserve">The goal of the program is to </w:t>
      </w:r>
      <w:r w:rsidR="00FB2836">
        <w:t>assist communities with a wide range of community, economic and housing needs</w:t>
      </w:r>
      <w:r w:rsidR="00BC6C37">
        <w:t xml:space="preserve"> through grants and loans</w:t>
      </w:r>
      <w:r w:rsidR="00FB2836">
        <w:t xml:space="preserve">. </w:t>
      </w:r>
      <w:r w:rsidR="00BC6C37">
        <w:t xml:space="preserve">It is primarily intended to benefit low and moderate individuals.  </w:t>
      </w:r>
      <w:r w:rsidR="00FB2836">
        <w:t xml:space="preserve">VCDP </w:t>
      </w:r>
      <w:r w:rsidR="004F1865">
        <w:t>staff is</w:t>
      </w:r>
      <w:r w:rsidR="00FB2836">
        <w:t xml:space="preserve"> assigned </w:t>
      </w:r>
      <w:r w:rsidR="00BC6C37">
        <w:t xml:space="preserve">to all regions of the state and </w:t>
      </w:r>
      <w:r w:rsidR="00FB2836">
        <w:t>provide</w:t>
      </w:r>
      <w:r w:rsidR="00F45579">
        <w:t>s</w:t>
      </w:r>
      <w:r w:rsidR="00FB2836">
        <w:t xml:space="preserve"> technical assistance </w:t>
      </w:r>
      <w:r w:rsidR="00BC6C37">
        <w:t xml:space="preserve">to </w:t>
      </w:r>
      <w:r w:rsidR="00FB2836">
        <w:t>municipalities, businesses, nonprofit organizations and housing developers.</w:t>
      </w:r>
      <w:r w:rsidR="00BC6C37">
        <w:t xml:space="preserve"> Until recently,</w:t>
      </w:r>
      <w:r w:rsidR="00FB2836">
        <w:t xml:space="preserve"> </w:t>
      </w:r>
      <w:r w:rsidR="00BC6C37">
        <w:t xml:space="preserve">the VCDP </w:t>
      </w:r>
      <w:r w:rsidR="00FB2836">
        <w:t>has been funded at a level of $7 to $9 million annually</w:t>
      </w:r>
      <w:r>
        <w:t xml:space="preserve">.  </w:t>
      </w:r>
      <w:r w:rsidR="00BC6C37">
        <w:t xml:space="preserve">Like most federal housing and community development programs, however, CDBG has been the subject of budget cuts.  </w:t>
      </w:r>
      <w:r w:rsidR="00FD43E4">
        <w:t xml:space="preserve">The VCDP will receive </w:t>
      </w:r>
      <w:r w:rsidR="00FF7A25">
        <w:t xml:space="preserve">$6.2 million this year which will translate </w:t>
      </w:r>
      <w:r w:rsidR="00A864CE">
        <w:t>in</w:t>
      </w:r>
      <w:r w:rsidR="00FF7A25">
        <w:t xml:space="preserve">to fewer awards to communities. In response to the declining funding level, </w:t>
      </w:r>
      <w:r w:rsidR="006B5AF3">
        <w:t>staff has</w:t>
      </w:r>
      <w:r w:rsidR="00FF7A25">
        <w:t xml:space="preserve"> decreased the number of funding rounds annually from six to five</w:t>
      </w:r>
      <w:r w:rsidR="00A864CE">
        <w:t xml:space="preserve"> and will revisit the schedule for the upcoming year</w:t>
      </w:r>
      <w:r w:rsidR="00FF7A25">
        <w:t xml:space="preserve">.  </w:t>
      </w:r>
    </w:p>
    <w:p w:rsidR="00FF7A25" w:rsidRDefault="00FF7A25" w:rsidP="00FB2836">
      <w:pPr>
        <w:autoSpaceDE w:val="0"/>
        <w:autoSpaceDN w:val="0"/>
      </w:pPr>
    </w:p>
    <w:p w:rsidR="00FB2836" w:rsidRDefault="00FF7A25" w:rsidP="00FB2836">
      <w:pPr>
        <w:autoSpaceDE w:val="0"/>
        <w:autoSpaceDN w:val="0"/>
      </w:pPr>
      <w:r>
        <w:t>Application</w:t>
      </w:r>
      <w:r w:rsidR="00A864CE">
        <w:t>s</w:t>
      </w:r>
      <w:r>
        <w:t xml:space="preserve"> for funding routinely exceed </w:t>
      </w:r>
      <w:r w:rsidR="00A864CE">
        <w:t xml:space="preserve">the amount available.  </w:t>
      </w:r>
      <w:r w:rsidR="00F45579">
        <w:t xml:space="preserve">A nine-member board, </w:t>
      </w:r>
      <w:r>
        <w:t xml:space="preserve">appointed by the Governor and </w:t>
      </w:r>
      <w:r w:rsidR="00F45579">
        <w:t>staffed by the department, makes funding recommendations</w:t>
      </w:r>
      <w:r w:rsidR="00FB2836" w:rsidRPr="00432E6B">
        <w:t xml:space="preserve"> to the Agency Secretary.</w:t>
      </w:r>
      <w:r w:rsidR="00FB2836" w:rsidRPr="00937E78">
        <w:t xml:space="preserve"> </w:t>
      </w:r>
      <w:r w:rsidR="00FB2836">
        <w:t xml:space="preserve">Approved </w:t>
      </w:r>
      <w:r w:rsidR="00A864CE">
        <w:t xml:space="preserve">applicants </w:t>
      </w:r>
      <w:r w:rsidR="00FB2836">
        <w:t xml:space="preserve">receive grant awards for vital community development projects in the categories of affordable housing, economic development, public services and public facilities. VCDP funding priorities are established in the HUD Consolidated Plan for Vermont. The top priorities are </w:t>
      </w:r>
      <w:r w:rsidR="00F45579">
        <w:t>a</w:t>
      </w:r>
      <w:r w:rsidR="00FB2836">
        <w:t xml:space="preserve">ffordable </w:t>
      </w:r>
      <w:r w:rsidR="00F45579">
        <w:t>h</w:t>
      </w:r>
      <w:r w:rsidR="00FB2836">
        <w:t xml:space="preserve">ousing and </w:t>
      </w:r>
      <w:r w:rsidR="00F45579">
        <w:t>e</w:t>
      </w:r>
      <w:r w:rsidR="00FB2836">
        <w:t xml:space="preserve">conomic </w:t>
      </w:r>
      <w:r w:rsidR="00F45579">
        <w:t>d</w:t>
      </w:r>
      <w:r w:rsidR="00FB2836">
        <w:t xml:space="preserve">evelopment. </w:t>
      </w:r>
    </w:p>
    <w:p w:rsidR="00D1070A" w:rsidRDefault="00D1070A" w:rsidP="00FB2836">
      <w:pPr>
        <w:autoSpaceDE w:val="0"/>
        <w:autoSpaceDN w:val="0"/>
      </w:pPr>
    </w:p>
    <w:p w:rsidR="00D1070A" w:rsidRDefault="00D1070A" w:rsidP="00D1070A">
      <w:pPr>
        <w:autoSpaceDE w:val="0"/>
        <w:autoSpaceDN w:val="0"/>
      </w:pPr>
      <w:r>
        <w:t xml:space="preserve">As the result of a special federal appropriation for states with declared disaster areas, the VCDP will receive an additional allocation of </w:t>
      </w:r>
      <w:r w:rsidR="00F11090">
        <w:t xml:space="preserve">$21.7 million in </w:t>
      </w:r>
      <w:r>
        <w:t xml:space="preserve">federal FY2012 CDBG funds for disaster recovery efforts.  The use of this funding will be determined with stakeholder and public input through the state’s public participation plan as approved by HUD.   </w:t>
      </w:r>
    </w:p>
    <w:p w:rsidR="00262C82" w:rsidRDefault="00262C82" w:rsidP="00FB2836">
      <w:pPr>
        <w:autoSpaceDE w:val="0"/>
        <w:autoSpaceDN w:val="0"/>
      </w:pPr>
    </w:p>
    <w:p w:rsidR="007E7BB3" w:rsidRDefault="00FF7A25" w:rsidP="00FB2836">
      <w:r>
        <w:t>T</w:t>
      </w:r>
      <w:r w:rsidR="00DA5EBA" w:rsidRPr="00173A76">
        <w:t xml:space="preserve">he </w:t>
      </w:r>
      <w:r w:rsidR="00FB2836" w:rsidRPr="00173A76">
        <w:t>VCDP</w:t>
      </w:r>
      <w:r w:rsidR="00DA5EBA" w:rsidRPr="00173A76">
        <w:t xml:space="preserve"> </w:t>
      </w:r>
      <w:r w:rsidR="00FB2836" w:rsidRPr="00173A76">
        <w:t xml:space="preserve">captures </w:t>
      </w:r>
      <w:r w:rsidR="000B58A2" w:rsidRPr="00173A76">
        <w:t>data for each project</w:t>
      </w:r>
      <w:r>
        <w:t xml:space="preserve"> assisted. These include th</w:t>
      </w:r>
      <w:r w:rsidR="00DA5EBA" w:rsidRPr="00173A76">
        <w:t xml:space="preserve">e following </w:t>
      </w:r>
      <w:r w:rsidR="00A864CE">
        <w:t xml:space="preserve">housing </w:t>
      </w:r>
      <w:r w:rsidR="00DA5EBA" w:rsidRPr="00173A76">
        <w:t xml:space="preserve">measures: </w:t>
      </w:r>
      <w:r w:rsidR="00862861" w:rsidRPr="00173A76">
        <w:t>t</w:t>
      </w:r>
      <w:r w:rsidR="00FB2836" w:rsidRPr="00173A76">
        <w:t>otal</w:t>
      </w:r>
      <w:r w:rsidR="00862861" w:rsidRPr="00173A76">
        <w:t xml:space="preserve"> number of rental units created; t</w:t>
      </w:r>
      <w:r w:rsidR="00FB2836" w:rsidRPr="00173A76">
        <w:t>otal number of rental units rehabilita</w:t>
      </w:r>
      <w:r w:rsidR="00862861" w:rsidRPr="00173A76">
        <w:t>ted; t</w:t>
      </w:r>
      <w:r w:rsidR="00FB2836" w:rsidRPr="00173A76">
        <w:t xml:space="preserve">otal number </w:t>
      </w:r>
      <w:r w:rsidR="00862861" w:rsidRPr="00173A76">
        <w:t>of owner occupied units created; t</w:t>
      </w:r>
      <w:r w:rsidR="00FB2836" w:rsidRPr="00173A76">
        <w:t>otal number of own</w:t>
      </w:r>
      <w:r w:rsidR="00862861" w:rsidRPr="00173A76">
        <w:t>er occupied units rehabilitated; number of affordable units</w:t>
      </w:r>
      <w:r w:rsidR="00DA5EBA" w:rsidRPr="00173A76">
        <w:t xml:space="preserve"> created</w:t>
      </w:r>
      <w:r w:rsidR="00862861" w:rsidRPr="00173A76">
        <w:t>; n</w:t>
      </w:r>
      <w:r w:rsidR="00FB2836" w:rsidRPr="00173A76">
        <w:t>umber of</w:t>
      </w:r>
      <w:r w:rsidR="00862861" w:rsidRPr="00173A76">
        <w:t xml:space="preserve"> years affordability guaranteed; percent of market rate units; n</w:t>
      </w:r>
      <w:r w:rsidR="00FB2836" w:rsidRPr="00173A76">
        <w:t xml:space="preserve">umber of units subsidized with project-based rental </w:t>
      </w:r>
      <w:r w:rsidR="00862861" w:rsidRPr="00173A76">
        <w:t>assistance; n</w:t>
      </w:r>
      <w:r w:rsidR="00FB2836" w:rsidRPr="00173A76">
        <w:t xml:space="preserve">umber </w:t>
      </w:r>
      <w:r w:rsidR="00862861" w:rsidRPr="00173A76">
        <w:t>of units Section 504 accessible; n</w:t>
      </w:r>
      <w:r w:rsidR="00FB2836" w:rsidRPr="00173A76">
        <w:t>umb</w:t>
      </w:r>
      <w:r w:rsidR="00862861" w:rsidRPr="00173A76">
        <w:t>er of units occupied by elderly; n</w:t>
      </w:r>
      <w:r w:rsidR="00FB2836" w:rsidRPr="00173A76">
        <w:t>umber of units brought from su</w:t>
      </w:r>
      <w:r w:rsidR="00862861" w:rsidRPr="00173A76">
        <w:t>bstandard to standard condition; n</w:t>
      </w:r>
      <w:r w:rsidR="00FB2836" w:rsidRPr="00173A76">
        <w:t>umber of units brought into compliance w</w:t>
      </w:r>
      <w:r w:rsidR="00862861" w:rsidRPr="00173A76">
        <w:t>ith the lead safe housing rules; n</w:t>
      </w:r>
      <w:r w:rsidR="00FB2836" w:rsidRPr="00173A76">
        <w:t>umber of units created through convers</w:t>
      </w:r>
      <w:r w:rsidR="00862861" w:rsidRPr="00173A76">
        <w:t>ion of nonresidential buildings; n</w:t>
      </w:r>
      <w:r w:rsidR="00FB2836" w:rsidRPr="00173A76">
        <w:t>umber of</w:t>
      </w:r>
      <w:r w:rsidR="00862861" w:rsidRPr="00173A76">
        <w:t xml:space="preserve"> units qualified as Energy Star and many more housing-related measures.</w:t>
      </w:r>
    </w:p>
    <w:p w:rsidR="007E7BB3" w:rsidRDefault="007E7BB3" w:rsidP="00FB2836"/>
    <w:p w:rsidR="007E7BB3" w:rsidRDefault="00862861" w:rsidP="00FB2836">
      <w:r w:rsidRPr="00173A76">
        <w:t>Economic development project measures include total number of jobs created; total number of jobs retained; n</w:t>
      </w:r>
      <w:r w:rsidR="00FB2836" w:rsidRPr="00173A76">
        <w:t>umber o</w:t>
      </w:r>
      <w:r w:rsidRPr="00173A76">
        <w:t>f low and moderate jobs created;</w:t>
      </w:r>
      <w:r w:rsidR="00DA5EBA" w:rsidRPr="00173A76">
        <w:t xml:space="preserve"> </w:t>
      </w:r>
      <w:r w:rsidRPr="00173A76">
        <w:t>n</w:t>
      </w:r>
      <w:r w:rsidR="00FB2836" w:rsidRPr="00173A76">
        <w:t>umber of</w:t>
      </w:r>
      <w:r w:rsidRPr="00173A76">
        <w:t xml:space="preserve"> low and moderate jobs retained; n</w:t>
      </w:r>
      <w:r w:rsidR="00FB2836" w:rsidRPr="00173A76">
        <w:t>umber of jobs created with</w:t>
      </w:r>
      <w:r w:rsidRPr="00173A76">
        <w:t xml:space="preserve"> employer sponsored health care; n</w:t>
      </w:r>
      <w:r w:rsidR="00FB2836" w:rsidRPr="00173A76">
        <w:t>umber of jobs retained with</w:t>
      </w:r>
      <w:r w:rsidRPr="00173A76">
        <w:t xml:space="preserve"> employer sponsored health care; and many others indicators.</w:t>
      </w:r>
    </w:p>
    <w:p w:rsidR="007E7BB3" w:rsidRDefault="007E7BB3" w:rsidP="00FB2836"/>
    <w:p w:rsidR="00FB2836" w:rsidRPr="00173A76" w:rsidRDefault="00862861" w:rsidP="00FB2836">
      <w:r w:rsidRPr="00173A76">
        <w:t>Measures for public service projects and public facility projects include n</w:t>
      </w:r>
      <w:r w:rsidR="00FB2836" w:rsidRPr="00173A76">
        <w:t>umber of pers</w:t>
      </w:r>
      <w:r w:rsidRPr="00173A76">
        <w:t>ons with new access to services; n</w:t>
      </w:r>
      <w:r w:rsidR="00FB2836" w:rsidRPr="00173A76">
        <w:t xml:space="preserve">umber of </w:t>
      </w:r>
      <w:r w:rsidR="00173A76" w:rsidRPr="00173A76">
        <w:t>p</w:t>
      </w:r>
      <w:r w:rsidR="00FB2836" w:rsidRPr="00173A76">
        <w:t>ersons w</w:t>
      </w:r>
      <w:r w:rsidRPr="00173A76">
        <w:t>ith improved access to services; n</w:t>
      </w:r>
      <w:r w:rsidR="00FB2836" w:rsidRPr="00173A76">
        <w:t>umber of persons with service that is no longer substan</w:t>
      </w:r>
      <w:r w:rsidRPr="00173A76">
        <w:t>dard; n</w:t>
      </w:r>
      <w:r w:rsidR="00FB2836" w:rsidRPr="00173A76">
        <w:t xml:space="preserve">umber of persons assisted with new access </w:t>
      </w:r>
      <w:r w:rsidRPr="00173A76">
        <w:t>to a facility or infrastructure; n</w:t>
      </w:r>
      <w:r w:rsidR="00FB2836" w:rsidRPr="00173A76">
        <w:t xml:space="preserve">umber of persons assisted with improved access </w:t>
      </w:r>
      <w:r w:rsidRPr="00173A76">
        <w:t>to a facility or infrastructure; and n</w:t>
      </w:r>
      <w:r w:rsidR="00FB2836" w:rsidRPr="00173A76">
        <w:t>umber of persons assisted by a facility or infrastructure that is no longer substandard:</w:t>
      </w:r>
    </w:p>
    <w:p w:rsidR="00FB2836" w:rsidRPr="00173A76" w:rsidRDefault="00FB2836" w:rsidP="00FB2836"/>
    <w:p w:rsidR="007E7BB3" w:rsidRDefault="00FB2836" w:rsidP="00FB2836">
      <w:r w:rsidRPr="00173A76">
        <w:t>This information allows VCDP to measure the proposed and actual performance of each project and thus the performance of all VCDP grants and projects in our portfolio.  In addition VCDP also measures overall program performance by collecting and compiling program level information each year.  A small s</w:t>
      </w:r>
      <w:r w:rsidR="00D54771">
        <w:t xml:space="preserve">ample of the results for </w:t>
      </w:r>
      <w:r w:rsidR="00C96028">
        <w:t xml:space="preserve">FY 2009, </w:t>
      </w:r>
      <w:r w:rsidR="00D54771">
        <w:t>FY 2010 and</w:t>
      </w:r>
      <w:r w:rsidR="00FF7A25">
        <w:t xml:space="preserve"> FY</w:t>
      </w:r>
      <w:r w:rsidR="00D54771">
        <w:t>2011</w:t>
      </w:r>
      <w:r w:rsidRPr="00173A76">
        <w:t xml:space="preserve"> are listed below. </w:t>
      </w:r>
    </w:p>
    <w:p w:rsidR="000471A5" w:rsidRDefault="000471A5" w:rsidP="00862861">
      <w:pPr>
        <w:ind w:left="5040" w:firstLine="720"/>
        <w:rPr>
          <w:u w:val="single"/>
        </w:rPr>
      </w:pPr>
    </w:p>
    <w:p w:rsidR="00FB2836" w:rsidRPr="00C96028" w:rsidRDefault="00C96028" w:rsidP="00C96028">
      <w:pPr>
        <w:ind w:left="5040" w:firstLine="720"/>
        <w:rPr>
          <w:u w:val="single"/>
        </w:rPr>
      </w:pPr>
      <w:r w:rsidRPr="00C96028">
        <w:rPr>
          <w:u w:val="single"/>
        </w:rPr>
        <w:t>FY2009</w:t>
      </w:r>
      <w:r w:rsidRPr="00C96028">
        <w:rPr>
          <w:u w:val="single"/>
        </w:rPr>
        <w:tab/>
      </w:r>
      <w:r>
        <w:rPr>
          <w:u w:val="single"/>
        </w:rPr>
        <w:tab/>
      </w:r>
      <w:r w:rsidR="00FB2836" w:rsidRPr="00C96028">
        <w:rPr>
          <w:u w:val="single"/>
        </w:rPr>
        <w:t>FY 20</w:t>
      </w:r>
      <w:r w:rsidR="00D54771" w:rsidRPr="00C96028">
        <w:rPr>
          <w:u w:val="single"/>
        </w:rPr>
        <w:t>10</w:t>
      </w:r>
      <w:r w:rsidR="00FB2836" w:rsidRPr="00C96028">
        <w:rPr>
          <w:u w:val="single"/>
        </w:rPr>
        <w:tab/>
      </w:r>
      <w:r w:rsidR="00FB2836" w:rsidRPr="00C96028">
        <w:rPr>
          <w:u w:val="single"/>
        </w:rPr>
        <w:tab/>
        <w:t>FY201</w:t>
      </w:r>
      <w:r w:rsidR="00CF6016" w:rsidRPr="00C96028">
        <w:rPr>
          <w:u w:val="single"/>
        </w:rPr>
        <w:t>1</w:t>
      </w:r>
    </w:p>
    <w:p w:rsidR="00FB2836" w:rsidRDefault="00FB2836" w:rsidP="00862861">
      <w:r>
        <w:t>Communities/projects r</w:t>
      </w:r>
      <w:r w:rsidR="00D54771">
        <w:t>eceiving technical assistance:</w:t>
      </w:r>
      <w:r w:rsidR="00D54771">
        <w:tab/>
      </w:r>
      <w:r w:rsidR="00C96028">
        <w:t>74</w:t>
      </w:r>
      <w:r w:rsidR="00E32332">
        <w:tab/>
      </w:r>
      <w:r w:rsidR="00E32332">
        <w:tab/>
      </w:r>
      <w:r w:rsidR="00C96028">
        <w:tab/>
      </w:r>
      <w:r w:rsidR="00D54771">
        <w:t>8</w:t>
      </w:r>
      <w:r>
        <w:t>4</w:t>
      </w:r>
      <w:r>
        <w:tab/>
      </w:r>
      <w:r>
        <w:tab/>
      </w:r>
      <w:r>
        <w:tab/>
      </w:r>
      <w:r w:rsidR="00000F3A">
        <w:t>78</w:t>
      </w:r>
    </w:p>
    <w:p w:rsidR="00FB2836" w:rsidRDefault="00FB2836" w:rsidP="00862861">
      <w:r>
        <w:t>Gran</w:t>
      </w:r>
      <w:r w:rsidR="00D54771">
        <w:t>t applications submitted:</w:t>
      </w:r>
      <w:r w:rsidR="00D54771">
        <w:tab/>
      </w:r>
      <w:r w:rsidR="00D54771">
        <w:tab/>
      </w:r>
      <w:r w:rsidR="00D54771">
        <w:tab/>
      </w:r>
      <w:r w:rsidR="00D54771">
        <w:tab/>
      </w:r>
      <w:r w:rsidR="00D54771">
        <w:tab/>
      </w:r>
      <w:r w:rsidR="00C96028">
        <w:t>37</w:t>
      </w:r>
      <w:r w:rsidR="00E32332">
        <w:tab/>
      </w:r>
      <w:r w:rsidR="00E32332">
        <w:tab/>
      </w:r>
      <w:r w:rsidR="00C96028">
        <w:tab/>
      </w:r>
      <w:r w:rsidR="00D54771">
        <w:t>42</w:t>
      </w:r>
      <w:r>
        <w:tab/>
      </w:r>
      <w:r>
        <w:tab/>
      </w:r>
      <w:r>
        <w:tab/>
      </w:r>
      <w:r w:rsidR="00000F3A">
        <w:t>39</w:t>
      </w:r>
    </w:p>
    <w:p w:rsidR="00FB2836" w:rsidRDefault="00FB2836" w:rsidP="00862861">
      <w:r>
        <w:t>Projects/grants funded:</w:t>
      </w:r>
      <w:r>
        <w:tab/>
      </w:r>
      <w:r>
        <w:tab/>
      </w:r>
      <w:r>
        <w:tab/>
      </w:r>
      <w:r>
        <w:tab/>
      </w:r>
      <w:r>
        <w:tab/>
      </w:r>
      <w:r w:rsidR="00C96028">
        <w:t>25</w:t>
      </w:r>
      <w:r w:rsidR="00E32332">
        <w:tab/>
      </w:r>
      <w:r w:rsidR="00E32332">
        <w:tab/>
      </w:r>
      <w:r w:rsidR="00C96028">
        <w:tab/>
      </w:r>
      <w:r>
        <w:t>2</w:t>
      </w:r>
      <w:r w:rsidR="00D54771">
        <w:t>4</w:t>
      </w:r>
      <w:r w:rsidR="00CF6016">
        <w:tab/>
      </w:r>
      <w:r w:rsidR="00CF6016">
        <w:tab/>
      </w:r>
      <w:r w:rsidR="00CF6016">
        <w:tab/>
        <w:t>31</w:t>
      </w:r>
    </w:p>
    <w:p w:rsidR="00FB2836" w:rsidRDefault="00D54771" w:rsidP="00862861">
      <w:r>
        <w:t>Funding awarded:</w:t>
      </w:r>
      <w:r>
        <w:tab/>
      </w:r>
      <w:r>
        <w:tab/>
      </w:r>
      <w:r>
        <w:tab/>
      </w:r>
      <w:r>
        <w:tab/>
      </w:r>
      <w:r>
        <w:tab/>
      </w:r>
      <w:r>
        <w:tab/>
      </w:r>
      <w:r w:rsidR="00C96028">
        <w:t>$9.2</w:t>
      </w:r>
      <w:r w:rsidR="00E32332">
        <w:tab/>
      </w:r>
      <w:r w:rsidR="00E32332">
        <w:tab/>
      </w:r>
      <w:r w:rsidR="00C96028">
        <w:tab/>
      </w:r>
      <w:r>
        <w:t>$7.3</w:t>
      </w:r>
      <w:r w:rsidR="00E32332">
        <w:t>M</w:t>
      </w:r>
      <w:r w:rsidR="00E32332">
        <w:tab/>
      </w:r>
      <w:r w:rsidR="00E32332">
        <w:tab/>
      </w:r>
      <w:r w:rsidR="00E32332">
        <w:tab/>
        <w:t>$8</w:t>
      </w:r>
      <w:r w:rsidR="00FB2836">
        <w:t>M</w:t>
      </w:r>
    </w:p>
    <w:p w:rsidR="00FB2836" w:rsidRDefault="00D54771" w:rsidP="00862861">
      <w:r>
        <w:t>Funding leveraged:</w:t>
      </w:r>
      <w:r>
        <w:tab/>
      </w:r>
      <w:r>
        <w:tab/>
      </w:r>
      <w:r>
        <w:tab/>
      </w:r>
      <w:r>
        <w:tab/>
      </w:r>
      <w:r>
        <w:tab/>
      </w:r>
      <w:r>
        <w:tab/>
      </w:r>
      <w:r w:rsidR="00C96028">
        <w:t>$57M</w:t>
      </w:r>
      <w:r w:rsidR="00E32332">
        <w:tab/>
      </w:r>
      <w:r w:rsidR="00E32332">
        <w:tab/>
      </w:r>
      <w:r w:rsidR="00C96028">
        <w:tab/>
      </w:r>
      <w:r>
        <w:t>$76</w:t>
      </w:r>
      <w:r w:rsidR="00CF6016">
        <w:t>M</w:t>
      </w:r>
      <w:r w:rsidR="00CF6016">
        <w:tab/>
      </w:r>
      <w:r w:rsidR="00CF6016">
        <w:tab/>
      </w:r>
      <w:r w:rsidR="00CF6016">
        <w:tab/>
        <w:t>$10</w:t>
      </w:r>
      <w:r w:rsidR="00FB2836">
        <w:t>6M</w:t>
      </w:r>
    </w:p>
    <w:p w:rsidR="00FB2836" w:rsidRDefault="00FB2836" w:rsidP="00862861">
      <w:r>
        <w:t>Housing un</w:t>
      </w:r>
      <w:r w:rsidR="00D54771">
        <w:t>its created or preserved:</w:t>
      </w:r>
      <w:r w:rsidR="00D54771">
        <w:tab/>
      </w:r>
      <w:r w:rsidR="00D54771">
        <w:tab/>
      </w:r>
      <w:r w:rsidR="00D54771">
        <w:tab/>
      </w:r>
      <w:r w:rsidR="00D54771">
        <w:tab/>
      </w:r>
      <w:r w:rsidR="00C96028">
        <w:t>414</w:t>
      </w:r>
      <w:r w:rsidR="00E32332">
        <w:tab/>
      </w:r>
      <w:r w:rsidR="00E32332">
        <w:tab/>
      </w:r>
      <w:r w:rsidR="00C96028">
        <w:tab/>
      </w:r>
      <w:r w:rsidR="00D54771">
        <w:t>261</w:t>
      </w:r>
      <w:r w:rsidR="00CF6016">
        <w:tab/>
      </w:r>
      <w:r w:rsidR="00CF6016">
        <w:tab/>
      </w:r>
      <w:r w:rsidR="00CF6016">
        <w:tab/>
        <w:t>339</w:t>
      </w:r>
    </w:p>
    <w:p w:rsidR="00FB2836" w:rsidRDefault="00FB2836" w:rsidP="00862861">
      <w:r>
        <w:t>J</w:t>
      </w:r>
      <w:r w:rsidR="00D54771">
        <w:t>obs created or retained:</w:t>
      </w:r>
      <w:r w:rsidR="00D54771">
        <w:tab/>
      </w:r>
      <w:r w:rsidR="00D54771">
        <w:tab/>
      </w:r>
      <w:r w:rsidR="00D54771">
        <w:tab/>
      </w:r>
      <w:r w:rsidR="00D54771">
        <w:tab/>
      </w:r>
      <w:r w:rsidR="00D54771">
        <w:tab/>
      </w:r>
      <w:r w:rsidR="00C96028">
        <w:t>120</w:t>
      </w:r>
      <w:r w:rsidR="00E32332">
        <w:tab/>
      </w:r>
      <w:r w:rsidR="00E32332">
        <w:tab/>
      </w:r>
      <w:r w:rsidR="00C96028">
        <w:tab/>
      </w:r>
      <w:r w:rsidR="00D54771">
        <w:t>129</w:t>
      </w:r>
      <w:r w:rsidR="00E32332">
        <w:tab/>
      </w:r>
      <w:r w:rsidR="00E32332">
        <w:tab/>
      </w:r>
      <w:r w:rsidR="00E32332">
        <w:tab/>
        <w:t>117</w:t>
      </w:r>
    </w:p>
    <w:p w:rsidR="00FB2836" w:rsidRDefault="00FB2836" w:rsidP="00862861">
      <w:r>
        <w:t>Persons benefiting from inc</w:t>
      </w:r>
      <w:r w:rsidR="00D54771">
        <w:t>reased access or services:</w:t>
      </w:r>
      <w:r w:rsidR="00D54771">
        <w:tab/>
      </w:r>
      <w:r w:rsidR="00C96028">
        <w:t>2,330</w:t>
      </w:r>
      <w:r w:rsidR="00E32332">
        <w:tab/>
      </w:r>
      <w:r w:rsidR="00E32332">
        <w:tab/>
      </w:r>
      <w:r w:rsidR="00C96028">
        <w:tab/>
      </w:r>
      <w:r w:rsidR="00D54771">
        <w:t>8,424</w:t>
      </w:r>
      <w:r w:rsidR="00CF6016">
        <w:tab/>
      </w:r>
      <w:r w:rsidR="00CF6016">
        <w:tab/>
      </w:r>
      <w:r w:rsidR="00CF6016">
        <w:tab/>
        <w:t>3,492</w:t>
      </w:r>
    </w:p>
    <w:p w:rsidR="00FB2836" w:rsidRDefault="00FB2836" w:rsidP="006C39C0">
      <w:r w:rsidRPr="00335213">
        <w:t xml:space="preserve">Communities receiving </w:t>
      </w:r>
      <w:r w:rsidR="006C39C0">
        <w:t xml:space="preserve">urgent </w:t>
      </w:r>
      <w:r w:rsidR="00CF6016">
        <w:t>need or blight assistance:</w:t>
      </w:r>
      <w:r w:rsidR="00CF6016">
        <w:tab/>
      </w:r>
      <w:r w:rsidR="00C96028">
        <w:t>2</w:t>
      </w:r>
      <w:r w:rsidR="00E32332">
        <w:tab/>
      </w:r>
      <w:r w:rsidR="00E32332">
        <w:tab/>
      </w:r>
      <w:r w:rsidR="00C96028">
        <w:tab/>
      </w:r>
      <w:r w:rsidR="00CF6016">
        <w:t>2</w:t>
      </w:r>
      <w:r w:rsidR="00CF6016">
        <w:tab/>
      </w:r>
      <w:r w:rsidR="00CF6016">
        <w:tab/>
      </w:r>
      <w:r w:rsidR="00CF6016">
        <w:tab/>
        <w:t>0</w:t>
      </w:r>
    </w:p>
    <w:p w:rsidR="00FB2836" w:rsidRDefault="00FB2836" w:rsidP="00862861">
      <w:r>
        <w:t xml:space="preserve">Communities receiving </w:t>
      </w:r>
      <w:r w:rsidR="00D54771">
        <w:t>grant assistance for planning:</w:t>
      </w:r>
      <w:r w:rsidR="00D54771">
        <w:tab/>
      </w:r>
      <w:r w:rsidR="00C96028">
        <w:t>6</w:t>
      </w:r>
      <w:r w:rsidR="00E32332">
        <w:tab/>
      </w:r>
      <w:r w:rsidR="00E32332">
        <w:tab/>
      </w:r>
      <w:r w:rsidR="00C96028">
        <w:tab/>
      </w:r>
      <w:r w:rsidR="00D54771">
        <w:t>9</w:t>
      </w:r>
      <w:r w:rsidR="00CF6016">
        <w:tab/>
      </w:r>
      <w:r w:rsidR="00CF6016">
        <w:tab/>
      </w:r>
      <w:r w:rsidR="00CF6016">
        <w:tab/>
        <w:t>6</w:t>
      </w:r>
    </w:p>
    <w:p w:rsidR="00EA6550" w:rsidRDefault="00EA6550" w:rsidP="00862861"/>
    <w:p w:rsidR="00BF0500" w:rsidRDefault="00BF0500" w:rsidP="00862861"/>
    <w:p w:rsidR="0091498F" w:rsidRDefault="0091498F" w:rsidP="00862861">
      <w:r>
        <w:t>4</w:t>
      </w:r>
    </w:p>
    <w:p w:rsidR="00BF0500" w:rsidRDefault="00BF0500" w:rsidP="00862861"/>
    <w:p w:rsidR="00BF0500" w:rsidRDefault="00BF0500" w:rsidP="00862861"/>
    <w:p w:rsidR="002276DB" w:rsidRDefault="002276DB" w:rsidP="00862861"/>
    <w:p w:rsidR="00EA6550" w:rsidRPr="00C96028" w:rsidRDefault="00EA6550" w:rsidP="00EA6550">
      <w:pPr>
        <w:ind w:left="5040" w:firstLine="720"/>
        <w:rPr>
          <w:u w:val="single"/>
        </w:rPr>
      </w:pPr>
      <w:r w:rsidRPr="00C96028">
        <w:rPr>
          <w:u w:val="single"/>
        </w:rPr>
        <w:t>FY20</w:t>
      </w:r>
      <w:r>
        <w:rPr>
          <w:u w:val="single"/>
        </w:rPr>
        <w:t>12</w:t>
      </w:r>
      <w:r w:rsidRPr="00C96028">
        <w:rPr>
          <w:u w:val="single"/>
        </w:rPr>
        <w:tab/>
      </w:r>
      <w:r>
        <w:rPr>
          <w:u w:val="single"/>
        </w:rPr>
        <w:tab/>
      </w:r>
      <w:r w:rsidRPr="00C96028">
        <w:rPr>
          <w:u w:val="single"/>
        </w:rPr>
        <w:t>FY 20</w:t>
      </w:r>
      <w:r>
        <w:rPr>
          <w:u w:val="single"/>
        </w:rPr>
        <w:t>13</w:t>
      </w:r>
      <w:r w:rsidRPr="00C96028">
        <w:rPr>
          <w:u w:val="single"/>
        </w:rPr>
        <w:tab/>
      </w:r>
      <w:r w:rsidRPr="00C96028">
        <w:rPr>
          <w:u w:val="single"/>
        </w:rPr>
        <w:tab/>
      </w:r>
    </w:p>
    <w:p w:rsidR="00EA6550" w:rsidRDefault="00EA6550" w:rsidP="00EA6550">
      <w:r>
        <w:t>Communities/projects receiving technical assistance:</w:t>
      </w:r>
      <w:r>
        <w:tab/>
      </w:r>
      <w:r w:rsidR="002276DB">
        <w:t>82</w:t>
      </w:r>
      <w:r>
        <w:tab/>
      </w:r>
      <w:r>
        <w:tab/>
      </w:r>
      <w:r>
        <w:tab/>
        <w:t>84</w:t>
      </w:r>
      <w:r>
        <w:tab/>
      </w:r>
      <w:r>
        <w:tab/>
      </w:r>
      <w:r>
        <w:tab/>
      </w:r>
    </w:p>
    <w:p w:rsidR="00EA6550" w:rsidRDefault="00EA6550" w:rsidP="00EA6550">
      <w:r>
        <w:t>Grant applications submitted:</w:t>
      </w:r>
      <w:r>
        <w:tab/>
      </w:r>
      <w:r>
        <w:tab/>
      </w:r>
      <w:r>
        <w:tab/>
      </w:r>
      <w:r>
        <w:tab/>
      </w:r>
      <w:r>
        <w:tab/>
      </w:r>
      <w:r w:rsidR="002276DB">
        <w:t>45</w:t>
      </w:r>
      <w:r>
        <w:tab/>
      </w:r>
      <w:r>
        <w:tab/>
      </w:r>
      <w:r>
        <w:tab/>
        <w:t>42</w:t>
      </w:r>
      <w:r>
        <w:tab/>
      </w:r>
      <w:r>
        <w:tab/>
      </w:r>
      <w:r>
        <w:tab/>
      </w:r>
    </w:p>
    <w:p w:rsidR="00EA6550" w:rsidRDefault="00EA6550" w:rsidP="00EA6550">
      <w:r>
        <w:t>Projects/grants funded:</w:t>
      </w:r>
      <w:r>
        <w:tab/>
      </w:r>
      <w:r>
        <w:tab/>
      </w:r>
      <w:r>
        <w:tab/>
      </w:r>
      <w:r>
        <w:tab/>
      </w:r>
      <w:r>
        <w:tab/>
      </w:r>
      <w:r w:rsidR="002276DB">
        <w:t>26</w:t>
      </w:r>
      <w:r>
        <w:tab/>
      </w:r>
      <w:r>
        <w:tab/>
      </w:r>
      <w:r>
        <w:tab/>
        <w:t>24</w:t>
      </w:r>
      <w:r>
        <w:tab/>
      </w:r>
      <w:r>
        <w:tab/>
      </w:r>
      <w:r>
        <w:tab/>
      </w:r>
    </w:p>
    <w:p w:rsidR="00EA6550" w:rsidRDefault="00EA6550" w:rsidP="00EA6550">
      <w:r>
        <w:t>Funding awarded:</w:t>
      </w:r>
      <w:r>
        <w:tab/>
      </w:r>
      <w:r>
        <w:tab/>
      </w:r>
      <w:r>
        <w:tab/>
      </w:r>
      <w:r>
        <w:tab/>
      </w:r>
      <w:r>
        <w:tab/>
      </w:r>
      <w:r>
        <w:tab/>
        <w:t>$6.7M</w:t>
      </w:r>
      <w:r>
        <w:tab/>
      </w:r>
      <w:r>
        <w:tab/>
      </w:r>
      <w:r>
        <w:tab/>
        <w:t>$</w:t>
      </w:r>
      <w:r w:rsidR="002276DB">
        <w:t>6.2M</w:t>
      </w:r>
      <w:r>
        <w:tab/>
      </w:r>
      <w:r>
        <w:tab/>
      </w:r>
      <w:r>
        <w:tab/>
      </w:r>
    </w:p>
    <w:p w:rsidR="00EA6550" w:rsidRDefault="00EA6550" w:rsidP="00EA6550">
      <w:r>
        <w:t>Funding leveraged:</w:t>
      </w:r>
      <w:r>
        <w:tab/>
      </w:r>
      <w:r>
        <w:tab/>
      </w:r>
      <w:r>
        <w:tab/>
      </w:r>
      <w:r>
        <w:tab/>
      </w:r>
      <w:r>
        <w:tab/>
      </w:r>
      <w:r>
        <w:tab/>
      </w:r>
      <w:r w:rsidR="002276DB">
        <w:t>$74M</w:t>
      </w:r>
      <w:r>
        <w:tab/>
      </w:r>
      <w:r>
        <w:tab/>
      </w:r>
      <w:r>
        <w:tab/>
        <w:t>$7</w:t>
      </w:r>
      <w:r w:rsidR="002276DB">
        <w:t>0</w:t>
      </w:r>
      <w:r>
        <w:t>M</w:t>
      </w:r>
      <w:r>
        <w:tab/>
      </w:r>
      <w:r>
        <w:tab/>
      </w:r>
      <w:r>
        <w:tab/>
      </w:r>
    </w:p>
    <w:p w:rsidR="00EA6550" w:rsidRDefault="00EA6550" w:rsidP="00EA6550">
      <w:r>
        <w:t>Housing units created or preserved:</w:t>
      </w:r>
      <w:r>
        <w:tab/>
      </w:r>
      <w:r>
        <w:tab/>
      </w:r>
      <w:r>
        <w:tab/>
      </w:r>
      <w:r>
        <w:tab/>
      </w:r>
      <w:r w:rsidR="002276DB">
        <w:t>219</w:t>
      </w:r>
      <w:r>
        <w:tab/>
      </w:r>
      <w:r>
        <w:tab/>
      </w:r>
      <w:r>
        <w:tab/>
        <w:t>2</w:t>
      </w:r>
      <w:r w:rsidR="002276DB">
        <w:t>03</w:t>
      </w:r>
      <w:r>
        <w:tab/>
      </w:r>
      <w:r>
        <w:tab/>
      </w:r>
      <w:r>
        <w:tab/>
      </w:r>
    </w:p>
    <w:p w:rsidR="00EA6550" w:rsidRDefault="00EA6550" w:rsidP="00EA6550">
      <w:r>
        <w:t>Jobs created or retained:</w:t>
      </w:r>
      <w:r>
        <w:tab/>
      </w:r>
      <w:r>
        <w:tab/>
      </w:r>
      <w:r>
        <w:tab/>
      </w:r>
      <w:r>
        <w:tab/>
      </w:r>
      <w:r>
        <w:tab/>
      </w:r>
      <w:r w:rsidR="002276DB">
        <w:t>108</w:t>
      </w:r>
      <w:r>
        <w:tab/>
      </w:r>
      <w:r>
        <w:tab/>
      </w:r>
      <w:r>
        <w:tab/>
        <w:t>129</w:t>
      </w:r>
      <w:r>
        <w:tab/>
      </w:r>
      <w:r>
        <w:tab/>
      </w:r>
      <w:r>
        <w:tab/>
      </w:r>
    </w:p>
    <w:p w:rsidR="00EA6550" w:rsidRDefault="00EA6550" w:rsidP="00EA6550">
      <w:r>
        <w:t>Persons benefiting from increased access or services:</w:t>
      </w:r>
      <w:r>
        <w:tab/>
      </w:r>
      <w:r w:rsidR="002276DB">
        <w:t>2933</w:t>
      </w:r>
      <w:r>
        <w:tab/>
      </w:r>
      <w:r>
        <w:tab/>
      </w:r>
      <w:r>
        <w:tab/>
      </w:r>
      <w:r w:rsidR="002276DB">
        <w:t>2727</w:t>
      </w:r>
      <w:r>
        <w:tab/>
      </w:r>
      <w:r>
        <w:tab/>
      </w:r>
      <w:r>
        <w:tab/>
      </w:r>
    </w:p>
    <w:p w:rsidR="00EA6550" w:rsidRDefault="00EA6550" w:rsidP="00EA6550">
      <w:r w:rsidRPr="00335213">
        <w:t xml:space="preserve">Communities receiving </w:t>
      </w:r>
      <w:r>
        <w:t>urgent need or blight assistance:</w:t>
      </w:r>
      <w:r>
        <w:tab/>
      </w:r>
      <w:r w:rsidR="002276DB">
        <w:t>2</w:t>
      </w:r>
      <w:r>
        <w:tab/>
      </w:r>
      <w:r>
        <w:tab/>
      </w:r>
      <w:r>
        <w:tab/>
        <w:t>2</w:t>
      </w:r>
      <w:r>
        <w:tab/>
      </w:r>
      <w:r>
        <w:tab/>
      </w:r>
      <w:r>
        <w:tab/>
      </w:r>
    </w:p>
    <w:p w:rsidR="00EA6550" w:rsidRDefault="00EA6550" w:rsidP="00EA6550">
      <w:r>
        <w:t>Communities receiving grant assistance for planning:</w:t>
      </w:r>
      <w:r>
        <w:tab/>
      </w:r>
      <w:r w:rsidR="002276DB">
        <w:t>6</w:t>
      </w:r>
      <w:r>
        <w:tab/>
      </w:r>
      <w:r>
        <w:tab/>
      </w:r>
      <w:r>
        <w:tab/>
      </w:r>
      <w:r w:rsidR="002276DB">
        <w:t>7</w:t>
      </w:r>
      <w:r>
        <w:tab/>
      </w:r>
      <w:r>
        <w:tab/>
      </w:r>
      <w:r>
        <w:tab/>
      </w:r>
    </w:p>
    <w:p w:rsidR="00EA6550" w:rsidRDefault="00EA6550" w:rsidP="00862861"/>
    <w:p w:rsidR="00EA6550" w:rsidRDefault="00EA6550" w:rsidP="00862861"/>
    <w:p w:rsidR="00EA6550" w:rsidRDefault="00EA6550" w:rsidP="00862861"/>
    <w:p w:rsidR="0039680F" w:rsidRDefault="0039680F" w:rsidP="0039680F">
      <w:pPr>
        <w:autoSpaceDE w:val="0"/>
        <w:autoSpaceDN w:val="0"/>
        <w:adjustRightInd w:val="0"/>
        <w:rPr>
          <w:rFonts w:eastAsiaTheme="minorHAnsi"/>
          <w:b/>
          <w:bCs/>
          <w:color w:val="000000"/>
          <w:u w:val="single"/>
        </w:rPr>
      </w:pPr>
      <w:r w:rsidRPr="00524AA7">
        <w:rPr>
          <w:rFonts w:eastAsiaTheme="minorHAnsi"/>
          <w:b/>
          <w:bCs/>
          <w:color w:val="000000"/>
          <w:u w:val="single"/>
        </w:rPr>
        <w:t>Grants Management Program</w:t>
      </w:r>
    </w:p>
    <w:p w:rsidR="00BC2A28" w:rsidRDefault="0039680F" w:rsidP="0039680F">
      <w:pPr>
        <w:autoSpaceDE w:val="0"/>
        <w:autoSpaceDN w:val="0"/>
        <w:adjustRightInd w:val="0"/>
        <w:rPr>
          <w:rFonts w:eastAsiaTheme="minorHAnsi"/>
          <w:bCs/>
          <w:color w:val="000000"/>
        </w:rPr>
      </w:pPr>
      <w:r>
        <w:rPr>
          <w:rFonts w:eastAsiaTheme="minorHAnsi"/>
          <w:bCs/>
          <w:color w:val="000000"/>
        </w:rPr>
        <w:t>Grants management staff a</w:t>
      </w:r>
      <w:r w:rsidRPr="00E85326">
        <w:rPr>
          <w:rFonts w:eastAsiaTheme="minorHAnsi"/>
          <w:bCs/>
          <w:color w:val="000000"/>
        </w:rPr>
        <w:t>ssist</w:t>
      </w:r>
      <w:r>
        <w:rPr>
          <w:rFonts w:eastAsiaTheme="minorHAnsi"/>
          <w:bCs/>
          <w:color w:val="000000"/>
        </w:rPr>
        <w:t>s</w:t>
      </w:r>
      <w:r w:rsidRPr="00E85326">
        <w:rPr>
          <w:rFonts w:eastAsiaTheme="minorHAnsi"/>
          <w:bCs/>
          <w:color w:val="000000"/>
        </w:rPr>
        <w:t xml:space="preserve"> municipalities</w:t>
      </w:r>
      <w:r>
        <w:rPr>
          <w:rFonts w:eastAsiaTheme="minorHAnsi"/>
          <w:bCs/>
          <w:color w:val="000000"/>
        </w:rPr>
        <w:t xml:space="preserve">, </w:t>
      </w:r>
      <w:r w:rsidRPr="00E85326">
        <w:rPr>
          <w:rFonts w:eastAsiaTheme="minorHAnsi"/>
          <w:bCs/>
          <w:color w:val="000000"/>
        </w:rPr>
        <w:t xml:space="preserve">developers, attorneys, consultants and </w:t>
      </w:r>
      <w:r>
        <w:rPr>
          <w:rFonts w:eastAsiaTheme="minorHAnsi"/>
          <w:bCs/>
          <w:color w:val="000000"/>
        </w:rPr>
        <w:t>p</w:t>
      </w:r>
      <w:r w:rsidRPr="00E85326">
        <w:rPr>
          <w:rFonts w:eastAsiaTheme="minorHAnsi"/>
          <w:bCs/>
          <w:color w:val="000000"/>
        </w:rPr>
        <w:t>rogram staff</w:t>
      </w:r>
      <w:r>
        <w:rPr>
          <w:rFonts w:eastAsiaTheme="minorHAnsi"/>
          <w:bCs/>
          <w:color w:val="000000"/>
        </w:rPr>
        <w:t xml:space="preserve"> in </w:t>
      </w:r>
      <w:r w:rsidRPr="00E85326">
        <w:rPr>
          <w:rFonts w:eastAsiaTheme="minorHAnsi"/>
          <w:bCs/>
          <w:color w:val="000000"/>
        </w:rPr>
        <w:t>complying with the federal regulations</w:t>
      </w:r>
      <w:r>
        <w:rPr>
          <w:rFonts w:eastAsiaTheme="minorHAnsi"/>
          <w:bCs/>
          <w:color w:val="000000"/>
        </w:rPr>
        <w:t xml:space="preserve"> related to programs administered by the department</w:t>
      </w:r>
      <w:r w:rsidR="0010541C">
        <w:rPr>
          <w:rFonts w:eastAsiaTheme="minorHAnsi"/>
          <w:bCs/>
          <w:color w:val="000000"/>
        </w:rPr>
        <w:t xml:space="preserve"> and other Agencies and Organizations</w:t>
      </w:r>
      <w:r>
        <w:rPr>
          <w:rFonts w:eastAsiaTheme="minorHAnsi"/>
          <w:bCs/>
          <w:color w:val="000000"/>
        </w:rPr>
        <w:t xml:space="preserve">.   These include the </w:t>
      </w:r>
      <w:r w:rsidRPr="00E85326">
        <w:rPr>
          <w:rFonts w:eastAsiaTheme="minorHAnsi"/>
          <w:bCs/>
          <w:color w:val="000000"/>
        </w:rPr>
        <w:t xml:space="preserve">Community Development Block Grant </w:t>
      </w:r>
      <w:r>
        <w:rPr>
          <w:rFonts w:eastAsiaTheme="minorHAnsi"/>
          <w:bCs/>
          <w:color w:val="000000"/>
        </w:rPr>
        <w:t xml:space="preserve">program </w:t>
      </w:r>
      <w:r w:rsidRPr="00E85326">
        <w:rPr>
          <w:rFonts w:eastAsiaTheme="minorHAnsi"/>
          <w:bCs/>
          <w:color w:val="000000"/>
        </w:rPr>
        <w:t xml:space="preserve">(CDBG), </w:t>
      </w:r>
      <w:r w:rsidR="0010541C">
        <w:rPr>
          <w:rFonts w:eastAsiaTheme="minorHAnsi"/>
          <w:bCs/>
          <w:color w:val="000000"/>
        </w:rPr>
        <w:t xml:space="preserve">Community Development Block Grant Recovery program (CDBG-R), </w:t>
      </w:r>
      <w:r w:rsidRPr="00E85326">
        <w:rPr>
          <w:rFonts w:eastAsiaTheme="minorHAnsi"/>
          <w:bCs/>
          <w:color w:val="000000"/>
        </w:rPr>
        <w:t>Neighborhood Stabilization Program</w:t>
      </w:r>
      <w:r w:rsidR="0010541C">
        <w:rPr>
          <w:rFonts w:eastAsiaTheme="minorHAnsi"/>
          <w:bCs/>
          <w:color w:val="000000"/>
        </w:rPr>
        <w:t>s</w:t>
      </w:r>
      <w:r w:rsidRPr="00E85326">
        <w:rPr>
          <w:rFonts w:eastAsiaTheme="minorHAnsi"/>
          <w:bCs/>
          <w:color w:val="000000"/>
        </w:rPr>
        <w:t xml:space="preserve"> (NSP</w:t>
      </w:r>
      <w:r w:rsidR="0010541C">
        <w:rPr>
          <w:rFonts w:eastAsiaTheme="minorHAnsi"/>
          <w:bCs/>
          <w:color w:val="000000"/>
        </w:rPr>
        <w:t>1 and NSP3</w:t>
      </w:r>
      <w:r w:rsidRPr="00E85326">
        <w:rPr>
          <w:rFonts w:eastAsiaTheme="minorHAnsi"/>
          <w:bCs/>
          <w:color w:val="000000"/>
        </w:rPr>
        <w:t>), the HOME Investment Partnerships Program (HOME)</w:t>
      </w:r>
      <w:r w:rsidR="0010541C">
        <w:rPr>
          <w:rFonts w:eastAsiaTheme="minorHAnsi"/>
          <w:bCs/>
          <w:color w:val="000000"/>
        </w:rPr>
        <w:t>, Tax Credit Assistance Program (TCAP), HUD Special Purpose Grants, and Historic Preservation Grants</w:t>
      </w:r>
      <w:r>
        <w:rPr>
          <w:rFonts w:eastAsiaTheme="minorHAnsi"/>
          <w:bCs/>
          <w:color w:val="000000"/>
        </w:rPr>
        <w:t>. Compliance areas comprise el</w:t>
      </w:r>
      <w:r w:rsidRPr="00E85326">
        <w:rPr>
          <w:rFonts w:eastAsiaTheme="minorHAnsi"/>
          <w:bCs/>
          <w:color w:val="000000"/>
        </w:rPr>
        <w:t xml:space="preserve">igible activities, </w:t>
      </w:r>
      <w:r w:rsidR="0010541C">
        <w:rPr>
          <w:rFonts w:eastAsiaTheme="minorHAnsi"/>
          <w:bCs/>
          <w:color w:val="000000"/>
        </w:rPr>
        <w:t xml:space="preserve">Financial Management, Single Audit, </w:t>
      </w:r>
      <w:r w:rsidRPr="00E85326">
        <w:rPr>
          <w:rFonts w:eastAsiaTheme="minorHAnsi"/>
          <w:bCs/>
          <w:color w:val="000000"/>
        </w:rPr>
        <w:t>Fair Housing, environmental, contractual, Davis-Bacon Labor Standards, timeliness of expenditures and m</w:t>
      </w:r>
      <w:r>
        <w:rPr>
          <w:rFonts w:eastAsiaTheme="minorHAnsi"/>
          <w:bCs/>
          <w:color w:val="000000"/>
        </w:rPr>
        <w:t>eeting the National Objective (</w:t>
      </w:r>
      <w:r w:rsidRPr="00E85326">
        <w:rPr>
          <w:rFonts w:eastAsiaTheme="minorHAnsi"/>
          <w:bCs/>
          <w:color w:val="000000"/>
        </w:rPr>
        <w:t>beneficiaries).  The Grants management staff conducts onsite monitoring</w:t>
      </w:r>
      <w:r>
        <w:rPr>
          <w:rFonts w:eastAsiaTheme="minorHAnsi"/>
          <w:bCs/>
          <w:color w:val="000000"/>
        </w:rPr>
        <w:t xml:space="preserve">, provides technical assistance </w:t>
      </w:r>
      <w:r w:rsidRPr="00E85326">
        <w:rPr>
          <w:rFonts w:eastAsiaTheme="minorHAnsi"/>
          <w:bCs/>
          <w:color w:val="000000"/>
        </w:rPr>
        <w:t>and audits the performance of grantees</w:t>
      </w:r>
      <w:r>
        <w:rPr>
          <w:rFonts w:eastAsiaTheme="minorHAnsi"/>
          <w:bCs/>
          <w:color w:val="000000"/>
        </w:rPr>
        <w:t xml:space="preserve"> and d</w:t>
      </w:r>
      <w:r w:rsidRPr="00E85326">
        <w:rPr>
          <w:rFonts w:eastAsiaTheme="minorHAnsi"/>
          <w:bCs/>
          <w:color w:val="000000"/>
        </w:rPr>
        <w:t xml:space="preserve">evelopers </w:t>
      </w:r>
      <w:r>
        <w:rPr>
          <w:rFonts w:eastAsiaTheme="minorHAnsi"/>
          <w:bCs/>
          <w:color w:val="000000"/>
        </w:rPr>
        <w:t>to ensure compliance</w:t>
      </w:r>
      <w:r w:rsidR="007647F9">
        <w:rPr>
          <w:rFonts w:eastAsiaTheme="minorHAnsi"/>
          <w:bCs/>
          <w:color w:val="000000"/>
        </w:rPr>
        <w:t xml:space="preserve"> and </w:t>
      </w:r>
      <w:r w:rsidRPr="00E85326">
        <w:rPr>
          <w:rFonts w:eastAsiaTheme="minorHAnsi"/>
          <w:bCs/>
          <w:color w:val="000000"/>
        </w:rPr>
        <w:t xml:space="preserve">provides </w:t>
      </w:r>
      <w:r>
        <w:rPr>
          <w:rFonts w:eastAsiaTheme="minorHAnsi"/>
          <w:bCs/>
          <w:color w:val="000000"/>
        </w:rPr>
        <w:t>a</w:t>
      </w:r>
      <w:r w:rsidRPr="00E85326">
        <w:rPr>
          <w:rFonts w:eastAsiaTheme="minorHAnsi"/>
          <w:bCs/>
          <w:color w:val="000000"/>
        </w:rPr>
        <w:t>gency-wide grants management oversight.</w:t>
      </w:r>
      <w:r w:rsidR="0010541C">
        <w:rPr>
          <w:rFonts w:eastAsiaTheme="minorHAnsi"/>
          <w:bCs/>
          <w:color w:val="000000"/>
        </w:rPr>
        <w:t xml:space="preserve">  </w:t>
      </w:r>
      <w:r w:rsidR="007647F9">
        <w:rPr>
          <w:rFonts w:eastAsiaTheme="minorHAnsi"/>
          <w:bCs/>
          <w:color w:val="000000"/>
        </w:rPr>
        <w:t>It serve</w:t>
      </w:r>
      <w:r w:rsidR="00F36EFA">
        <w:rPr>
          <w:rFonts w:eastAsiaTheme="minorHAnsi"/>
          <w:bCs/>
          <w:color w:val="000000"/>
        </w:rPr>
        <w:t xml:space="preserve">s as the main point of contact with HUD for all the HUD programs that are incorporated in the Consolidated Plan.  </w:t>
      </w:r>
      <w:r w:rsidR="0010541C">
        <w:rPr>
          <w:rFonts w:eastAsiaTheme="minorHAnsi"/>
          <w:bCs/>
          <w:color w:val="000000"/>
        </w:rPr>
        <w:t>Grants Management staff completes all Quarterly reporting due to HUD</w:t>
      </w:r>
      <w:r w:rsidR="00C669FF">
        <w:rPr>
          <w:rFonts w:eastAsiaTheme="minorHAnsi"/>
          <w:bCs/>
          <w:color w:val="000000"/>
        </w:rPr>
        <w:t xml:space="preserve"> for the NSP1 and NSP3, CDBG-R</w:t>
      </w:r>
      <w:r w:rsidR="0010541C">
        <w:rPr>
          <w:rFonts w:eastAsiaTheme="minorHAnsi"/>
          <w:bCs/>
          <w:color w:val="000000"/>
        </w:rPr>
        <w:t>,</w:t>
      </w:r>
      <w:r w:rsidR="00C669FF">
        <w:rPr>
          <w:rFonts w:eastAsiaTheme="minorHAnsi"/>
          <w:bCs/>
          <w:color w:val="000000"/>
        </w:rPr>
        <w:t xml:space="preserve"> and the Office of Budget and Management (OMB) Federal receipts and expenditures, </w:t>
      </w:r>
      <w:r w:rsidR="0010541C">
        <w:rPr>
          <w:rFonts w:eastAsiaTheme="minorHAnsi"/>
          <w:bCs/>
          <w:color w:val="000000"/>
        </w:rPr>
        <w:t>oversees the annual reporting for the HOME Program and the Emergency Solution Grants program</w:t>
      </w:r>
      <w:r w:rsidR="00C669FF">
        <w:rPr>
          <w:rFonts w:eastAsiaTheme="minorHAnsi"/>
          <w:bCs/>
          <w:color w:val="000000"/>
        </w:rPr>
        <w:t>, and participates in the annual reporting for the CDBG program.</w:t>
      </w:r>
      <w:r w:rsidR="00F36EFA">
        <w:rPr>
          <w:rFonts w:eastAsiaTheme="minorHAnsi"/>
          <w:bCs/>
          <w:color w:val="000000"/>
        </w:rPr>
        <w:t xml:space="preserve">  </w:t>
      </w:r>
    </w:p>
    <w:p w:rsidR="0039680F" w:rsidRDefault="00F36EFA" w:rsidP="0039680F">
      <w:pPr>
        <w:autoSpaceDE w:val="0"/>
        <w:autoSpaceDN w:val="0"/>
        <w:adjustRightInd w:val="0"/>
        <w:rPr>
          <w:rFonts w:eastAsiaTheme="minorHAnsi"/>
          <w:bCs/>
          <w:color w:val="000000"/>
        </w:rPr>
      </w:pPr>
      <w:r w:rsidRPr="00BC2A28">
        <w:rPr>
          <w:rFonts w:eastAsiaTheme="minorHAnsi"/>
          <w:b/>
          <w:bCs/>
          <w:color w:val="000000"/>
        </w:rPr>
        <w:t>The current reporting responsibility is for total federal awards in excess of $38</w:t>
      </w:r>
      <w:r w:rsidR="007647F9" w:rsidRPr="00BC2A28">
        <w:rPr>
          <w:rFonts w:eastAsiaTheme="minorHAnsi"/>
          <w:b/>
          <w:bCs/>
          <w:color w:val="000000"/>
        </w:rPr>
        <w:t xml:space="preserve"> million</w:t>
      </w:r>
      <w:r w:rsidR="00BC2A28" w:rsidRPr="00BC2A28">
        <w:rPr>
          <w:rFonts w:eastAsiaTheme="minorHAnsi"/>
          <w:b/>
          <w:bCs/>
          <w:color w:val="000000"/>
        </w:rPr>
        <w:t>, which will increase by $21.6M with the new Disaster Recovery allocation</w:t>
      </w:r>
      <w:r w:rsidR="00BC2A28">
        <w:rPr>
          <w:rFonts w:eastAsiaTheme="minorHAnsi"/>
          <w:bCs/>
          <w:color w:val="000000"/>
        </w:rPr>
        <w:t>.</w:t>
      </w:r>
    </w:p>
    <w:p w:rsidR="00524040" w:rsidRDefault="00524040" w:rsidP="0039680F">
      <w:pPr>
        <w:autoSpaceDE w:val="0"/>
        <w:autoSpaceDN w:val="0"/>
        <w:adjustRightInd w:val="0"/>
        <w:rPr>
          <w:rFonts w:eastAsiaTheme="minorHAnsi"/>
          <w:bCs/>
          <w:color w:val="000000"/>
        </w:rPr>
      </w:pPr>
    </w:p>
    <w:p w:rsidR="00524040" w:rsidRDefault="00524040" w:rsidP="0039680F">
      <w:pPr>
        <w:autoSpaceDE w:val="0"/>
        <w:autoSpaceDN w:val="0"/>
        <w:adjustRightInd w:val="0"/>
        <w:rPr>
          <w:rFonts w:eastAsiaTheme="minorHAnsi"/>
          <w:bCs/>
          <w:color w:val="000000"/>
        </w:rPr>
      </w:pPr>
      <w:r>
        <w:rPr>
          <w:rFonts w:eastAsiaTheme="minorHAnsi"/>
          <w:bCs/>
          <w:color w:val="000000"/>
        </w:rPr>
        <w:t>The Grants Management staff manages the closeout process of the Grants with the municipalities, and manages the Closeout Agreements for the housing tax credit long-term deferred loans, and the amortizing loans for the receipt and disbursement of Program Income by the Municipalities and the Nonprofit Community Development Organizations (NCDO’s).  Through the Closeout Agreements with amortizing loans, the staff secures the recapture to the Agency of the specified Program Income of an annual average of $250K which must be used to enhance the annual CDBG allocation for new grants.</w:t>
      </w:r>
    </w:p>
    <w:p w:rsidR="00C669FF" w:rsidRDefault="00C669FF" w:rsidP="0039680F">
      <w:pPr>
        <w:autoSpaceDE w:val="0"/>
        <w:autoSpaceDN w:val="0"/>
        <w:adjustRightInd w:val="0"/>
        <w:rPr>
          <w:rFonts w:eastAsiaTheme="minorHAnsi"/>
          <w:bCs/>
          <w:color w:val="000000"/>
        </w:rPr>
      </w:pPr>
    </w:p>
    <w:p w:rsidR="0039680F" w:rsidRDefault="0039680F" w:rsidP="0039680F">
      <w:pPr>
        <w:autoSpaceDE w:val="0"/>
        <w:autoSpaceDN w:val="0"/>
        <w:adjustRightInd w:val="0"/>
        <w:rPr>
          <w:rFonts w:eastAsiaTheme="minorHAnsi"/>
          <w:bCs/>
          <w:color w:val="000000"/>
        </w:rPr>
      </w:pPr>
      <w:r>
        <w:rPr>
          <w:rFonts w:eastAsiaTheme="minorHAnsi"/>
          <w:bCs/>
          <w:color w:val="000000"/>
        </w:rPr>
        <w:t xml:space="preserve">Outcomes are measured by the </w:t>
      </w:r>
      <w:r w:rsidRPr="00E85326">
        <w:rPr>
          <w:rFonts w:eastAsiaTheme="minorHAnsi"/>
          <w:bCs/>
          <w:color w:val="000000"/>
        </w:rPr>
        <w:t>lack of</w:t>
      </w:r>
      <w:r>
        <w:rPr>
          <w:rFonts w:eastAsiaTheme="minorHAnsi"/>
          <w:bCs/>
          <w:color w:val="000000"/>
        </w:rPr>
        <w:t xml:space="preserve"> c</w:t>
      </w:r>
      <w:r w:rsidRPr="00E85326">
        <w:rPr>
          <w:rFonts w:eastAsiaTheme="minorHAnsi"/>
          <w:bCs/>
          <w:color w:val="000000"/>
        </w:rPr>
        <w:t xml:space="preserve">ompliance </w:t>
      </w:r>
      <w:r>
        <w:rPr>
          <w:rFonts w:eastAsiaTheme="minorHAnsi"/>
          <w:bCs/>
          <w:color w:val="000000"/>
        </w:rPr>
        <w:t>f</w:t>
      </w:r>
      <w:r w:rsidRPr="00E85326">
        <w:rPr>
          <w:rFonts w:eastAsiaTheme="minorHAnsi"/>
          <w:bCs/>
          <w:color w:val="000000"/>
        </w:rPr>
        <w:t>indings</w:t>
      </w:r>
      <w:r>
        <w:rPr>
          <w:rFonts w:eastAsiaTheme="minorHAnsi"/>
          <w:bCs/>
          <w:color w:val="000000"/>
        </w:rPr>
        <w:t xml:space="preserve"> following reviews by the </w:t>
      </w:r>
      <w:r w:rsidRPr="00E85326">
        <w:rPr>
          <w:rFonts w:eastAsiaTheme="minorHAnsi"/>
          <w:bCs/>
          <w:color w:val="000000"/>
        </w:rPr>
        <w:t>State with Grantees, HUD with the State</w:t>
      </w:r>
      <w:r>
        <w:rPr>
          <w:rFonts w:eastAsiaTheme="minorHAnsi"/>
          <w:bCs/>
          <w:color w:val="000000"/>
        </w:rPr>
        <w:t xml:space="preserve"> audit, </w:t>
      </w:r>
      <w:r w:rsidRPr="00E85326">
        <w:rPr>
          <w:rFonts w:eastAsiaTheme="minorHAnsi"/>
          <w:bCs/>
          <w:color w:val="000000"/>
        </w:rPr>
        <w:t>State single audit with KPMG, HUD Inspector General, grantees with Independent CPA audits.</w:t>
      </w:r>
      <w:r>
        <w:rPr>
          <w:rFonts w:eastAsiaTheme="minorHAnsi"/>
          <w:bCs/>
          <w:color w:val="000000"/>
        </w:rPr>
        <w:t xml:space="preserve"> </w:t>
      </w:r>
      <w:r w:rsidRPr="00E85326">
        <w:rPr>
          <w:rFonts w:eastAsiaTheme="minorHAnsi"/>
          <w:bCs/>
          <w:color w:val="000000"/>
        </w:rPr>
        <w:t>Since the State has managed the CDBG Program in 1983, there have been no findings</w:t>
      </w:r>
      <w:r>
        <w:rPr>
          <w:rFonts w:eastAsiaTheme="minorHAnsi"/>
          <w:bCs/>
          <w:color w:val="000000"/>
        </w:rPr>
        <w:t>.</w:t>
      </w:r>
    </w:p>
    <w:p w:rsidR="0039680F" w:rsidRDefault="0039680F" w:rsidP="001E6038">
      <w:pPr>
        <w:rPr>
          <w:b/>
          <w:bCs/>
          <w:u w:val="single"/>
        </w:rPr>
      </w:pPr>
    </w:p>
    <w:p w:rsidR="00524AA7" w:rsidRDefault="001E6038" w:rsidP="001E6038">
      <w:pPr>
        <w:rPr>
          <w:bCs/>
          <w:u w:val="single"/>
        </w:rPr>
      </w:pPr>
      <w:r w:rsidRPr="00524AA7">
        <w:rPr>
          <w:b/>
          <w:bCs/>
          <w:u w:val="single"/>
        </w:rPr>
        <w:t>Community Planning and Revitalization</w:t>
      </w:r>
    </w:p>
    <w:p w:rsidR="001E6038" w:rsidRDefault="001E6038" w:rsidP="001E6038">
      <w:r>
        <w:t xml:space="preserve">The mission of these programs is primarily the promotion of “smart growth” – supporting development consistent with the statutory directive to “maintain the historic settlement pattern of compact village and urban centers, separate by rural countryside.”   </w:t>
      </w:r>
    </w:p>
    <w:p w:rsidR="001E6038" w:rsidRDefault="001E6038" w:rsidP="001E6038"/>
    <w:p w:rsidR="001E6038" w:rsidRDefault="001E6038" w:rsidP="001E6038">
      <w:r>
        <w:t>A variety of programs support this goal including providing training and technical assistance to communities on downtown revitalization</w:t>
      </w:r>
      <w:r w:rsidR="00A864CE">
        <w:t xml:space="preserve">.  Staff supports the </w:t>
      </w:r>
      <w:r>
        <w:t>V</w:t>
      </w:r>
      <w:r w:rsidR="00A864CE">
        <w:t xml:space="preserve">ermont </w:t>
      </w:r>
      <w:r>
        <w:t xml:space="preserve">Downtown Board which designates growth centers, downtowns and village centers and </w:t>
      </w:r>
      <w:r w:rsidR="006B5AF3">
        <w:t>Vermont Neighborhoods</w:t>
      </w:r>
      <w:r w:rsidR="00A864CE">
        <w:t xml:space="preserve">.  The board also </w:t>
      </w:r>
      <w:r>
        <w:t>administers $2.4 million in grants, tax credits and sales tax reallocations for investment in public and private infrastructure and buildings. Programs also assist in guiding land use planning and development decisions to meet ACT 200's statutory goals.  The division allocates and administers more than $2.5 million in state funds to the 11 regional planning commissions, as well as $400,000 through grants for municipal planning and land use regulations.</w:t>
      </w:r>
    </w:p>
    <w:p w:rsidR="001E6038" w:rsidRDefault="001E6038" w:rsidP="001E6038"/>
    <w:p w:rsidR="00C83F4E" w:rsidRDefault="00C83F4E" w:rsidP="00C83F4E">
      <w:pPr>
        <w:spacing w:after="200"/>
      </w:pPr>
      <w:r w:rsidRPr="00207565">
        <w:rPr>
          <w:b/>
        </w:rPr>
        <w:t>Municipal Planning Grants:</w:t>
      </w:r>
      <w:r>
        <w:t xml:space="preserve"> Funded through the Property Transfer Tax, this grant supports municipal planning activities, particularly town plans and bylaws. The program awarded 42 grants in FY12.  The Program has set a stronger priority this year for infrastructure planning, bylaws, and studies relating to designated downtowns, village centers, growth centers, new town centers, and neighborhoods and the grants will support a number of flood-affected communities with their long-term planning.</w:t>
      </w:r>
      <w:r>
        <w:rPr>
          <w:color w:val="1F497D"/>
        </w:rPr>
        <w:t xml:space="preserve"> </w:t>
      </w:r>
    </w:p>
    <w:p w:rsidR="00C83F4E" w:rsidRDefault="00C83F4E" w:rsidP="00C83F4E">
      <w:pPr>
        <w:rPr>
          <w:color w:val="FF0000"/>
        </w:rPr>
      </w:pPr>
      <w:r w:rsidRPr="00207565">
        <w:rPr>
          <w:b/>
        </w:rPr>
        <w:t>Partnership with Regional Planning Commissions:</w:t>
      </w:r>
      <w:r>
        <w:t>  We partner with Regional Planning Commissions (RPCs) to deliver community planning and development activities. The Department administers state funding for the 11 RPCs.  DEHCD had performa</w:t>
      </w:r>
      <w:r w:rsidR="0059300D">
        <w:t>n</w:t>
      </w:r>
      <w:r>
        <w:t xml:space="preserve">ce contracts with each of the RPC’s and they report outcomes and activities.  We are also partnering on the RPCs to schedule the statewide listening sessions (Community Recovery Partnership) to </w:t>
      </w:r>
      <w:r>
        <w:rPr>
          <w:sz w:val="23"/>
          <w:szCs w:val="23"/>
        </w:rPr>
        <w:t>help the state and communities emerge from Tropical Storm Irene stronger and more resilient.   The RPCs were integral to the state’s ability to respond to Tropical Storm Irene.  They will continue to play a key role through the recovery and redevelopment phases and will likely become a bigger part of the state’s emergency response system in the wake of Irene.</w:t>
      </w:r>
    </w:p>
    <w:p w:rsidR="00C83F4E" w:rsidRDefault="00C83F4E" w:rsidP="001E6038">
      <w:pPr>
        <w:rPr>
          <w:b/>
          <w:u w:val="single"/>
        </w:rPr>
      </w:pPr>
    </w:p>
    <w:p w:rsidR="001E6038" w:rsidRDefault="001E6038" w:rsidP="001E6038">
      <w:r w:rsidRPr="00C83F4E">
        <w:rPr>
          <w:b/>
          <w:u w:val="single"/>
        </w:rPr>
        <w:t>Vermont Downtown Program (VDP)</w:t>
      </w:r>
      <w:r>
        <w:rPr>
          <w:b/>
          <w:bCs/>
        </w:rPr>
        <w:t xml:space="preserve">  </w:t>
      </w:r>
      <w:r>
        <w:t>The Vermont Downtown Program (VDP) supports community efforts to strengthen downtowns and village centers through training and technical assistance. It also staffs the Downtown Development Board in awarding designations and incentives for both the public and private sector within the designated area, including tax credits for historic building rehabilitations and code improvements, transportation-related public improvements, and priority consideration for other State programs.  Long-vacant upper floors in many downtowns are now being rehabilitated for housing and offices, storefronts and facades are being improved, and buildings are becoming more accessible and safe through code improvements. Key incentives for VDP include:</w:t>
      </w:r>
    </w:p>
    <w:p w:rsidR="001E6038" w:rsidRDefault="001E6038" w:rsidP="001E6038">
      <w:pPr>
        <w:pStyle w:val="ListParagraph"/>
        <w:numPr>
          <w:ilvl w:val="0"/>
          <w:numId w:val="22"/>
        </w:numPr>
        <w:contextualSpacing w:val="0"/>
      </w:pPr>
      <w:r>
        <w:rPr>
          <w:i/>
          <w:iCs/>
        </w:rPr>
        <w:t>Transportation and Capital Improvement Fund:</w:t>
      </w:r>
      <w:r>
        <w:t xml:space="preserve"> Provides matching grants to municipalities in designated downtowns for transportation-related infrastructure improvements that support economic development. The program makes 7-10 awards a year, which are made based on the individual needs of each community, and the quality of the proposals. Program demand has remained steady over the past several years even as the economy has declined, and has encouraged on-going municipal investment in our downtowns.    </w:t>
      </w:r>
    </w:p>
    <w:p w:rsidR="001E6038" w:rsidRDefault="001E6038" w:rsidP="001E6038">
      <w:pPr>
        <w:pStyle w:val="ListParagraph"/>
        <w:numPr>
          <w:ilvl w:val="0"/>
          <w:numId w:val="22"/>
        </w:numPr>
        <w:spacing w:before="2" w:after="2"/>
        <w:contextualSpacing w:val="0"/>
      </w:pPr>
      <w:r>
        <w:rPr>
          <w:i/>
          <w:iCs/>
        </w:rPr>
        <w:t>Historic Tax Credits:</w:t>
      </w:r>
      <w:r>
        <w:t xml:space="preserve"> Since FY 2007, t</w:t>
      </w:r>
      <w:r>
        <w:rPr>
          <w:color w:val="000000"/>
        </w:rPr>
        <w:t xml:space="preserve">he state has invested nearly $10 million in the downtown tax credit program.  During the same period, the total construction value of downtown tax credit program is $171 million.  Every $1 of downtown credit leverages $16 in outside investment. </w:t>
      </w:r>
    </w:p>
    <w:p w:rsidR="001E6038" w:rsidRDefault="001E6038" w:rsidP="001E6038">
      <w:pPr>
        <w:pStyle w:val="ListParagraph"/>
        <w:numPr>
          <w:ilvl w:val="0"/>
          <w:numId w:val="22"/>
        </w:numPr>
        <w:contextualSpacing w:val="0"/>
      </w:pPr>
      <w:r>
        <w:rPr>
          <w:i/>
          <w:iCs/>
        </w:rPr>
        <w:t>Designated areas:</w:t>
      </w:r>
      <w:r>
        <w:t xml:space="preserve"> These programs focus on the revitalization of our historic downtowns and villages, as well as identifying areas where new development is both appropriate and desired. Designations include: </w:t>
      </w:r>
    </w:p>
    <w:p w:rsidR="001E6038" w:rsidRDefault="001E6038" w:rsidP="001E6038">
      <w:pPr>
        <w:pStyle w:val="ListParagraph"/>
        <w:numPr>
          <w:ilvl w:val="1"/>
          <w:numId w:val="23"/>
        </w:numPr>
        <w:contextualSpacing w:val="0"/>
      </w:pPr>
      <w:r>
        <w:t>Downtown designations (23 total – no designations added in FY11)</w:t>
      </w:r>
    </w:p>
    <w:p w:rsidR="001E6038" w:rsidRDefault="001E6038" w:rsidP="001E6038">
      <w:pPr>
        <w:pStyle w:val="ListParagraph"/>
        <w:numPr>
          <w:ilvl w:val="1"/>
          <w:numId w:val="23"/>
        </w:numPr>
        <w:contextualSpacing w:val="0"/>
      </w:pPr>
      <w:r>
        <w:t>Village Center designations (109 total - 2 new designations added in FY11)</w:t>
      </w:r>
    </w:p>
    <w:p w:rsidR="001E6038" w:rsidRDefault="001E6038" w:rsidP="001E6038">
      <w:pPr>
        <w:pStyle w:val="ListParagraph"/>
        <w:numPr>
          <w:ilvl w:val="1"/>
          <w:numId w:val="23"/>
        </w:numPr>
        <w:contextualSpacing w:val="0"/>
      </w:pPr>
      <w:r>
        <w:t>New Town Centers (3 total – no new designation added in FY11)</w:t>
      </w:r>
    </w:p>
    <w:p w:rsidR="001E6038" w:rsidRDefault="001E6038" w:rsidP="001E6038">
      <w:pPr>
        <w:pStyle w:val="ListParagraph"/>
        <w:numPr>
          <w:ilvl w:val="1"/>
          <w:numId w:val="23"/>
        </w:numPr>
        <w:contextualSpacing w:val="0"/>
      </w:pPr>
      <w:r>
        <w:t>Growth Centers (6 total – no designations added in FY11)</w:t>
      </w:r>
    </w:p>
    <w:p w:rsidR="001E6038" w:rsidRDefault="001E6038" w:rsidP="001E6038">
      <w:pPr>
        <w:pStyle w:val="ListParagraph"/>
        <w:numPr>
          <w:ilvl w:val="1"/>
          <w:numId w:val="23"/>
        </w:numPr>
        <w:contextualSpacing w:val="0"/>
      </w:pPr>
      <w:r>
        <w:t>Vermont Neighborhoods (2 total – no designations added in FY11)</w:t>
      </w:r>
    </w:p>
    <w:p w:rsidR="001E6038" w:rsidRDefault="001E6038" w:rsidP="001E6038"/>
    <w:p w:rsidR="00B06E50" w:rsidRDefault="00B06E50" w:rsidP="00117786">
      <w:pPr>
        <w:rPr>
          <w:b/>
          <w:i/>
        </w:rPr>
      </w:pPr>
    </w:p>
    <w:p w:rsidR="0039680F" w:rsidRPr="0039680F" w:rsidRDefault="00117786" w:rsidP="00117786">
      <w:pPr>
        <w:rPr>
          <w:b/>
          <w:u w:val="single"/>
        </w:rPr>
      </w:pPr>
      <w:r w:rsidRPr="0039680F">
        <w:rPr>
          <w:b/>
          <w:u w:val="single"/>
        </w:rPr>
        <w:t>Historic Preservation</w:t>
      </w:r>
    </w:p>
    <w:p w:rsidR="00117786" w:rsidRDefault="001B0A84" w:rsidP="00117786">
      <w:r>
        <w:t>The Division (DHP) helps Vermonters identify, preserve, interpret, and promote Vermont’s historic resources as vibrant components of our communities val</w:t>
      </w:r>
      <w:r w:rsidR="00117786">
        <w:t>ued by residents and visitors. Historic resources shape Vermont’s distinctive character and comprise key assets in all of Vermont’s communities: from historic downtowns, to historic village centers, to historic agricultural and working landscapes, to important archeological sites spanning 12,000 years of Vermont’s history.</w:t>
      </w:r>
    </w:p>
    <w:p w:rsidR="00117786" w:rsidRDefault="00117786" w:rsidP="00117786"/>
    <w:p w:rsidR="00480410" w:rsidRDefault="001B0A84" w:rsidP="00480410">
      <w:r>
        <w:t xml:space="preserve">The DHP directly supports preservation projects through listing buildings, districts, and archeological sites on the State and National Registers of Historic Places; Historic Preservation Grants for community buildings; </w:t>
      </w:r>
      <w:r w:rsidR="00117786">
        <w:t xml:space="preserve">and </w:t>
      </w:r>
      <w:r>
        <w:t xml:space="preserve">Barn Grants for </w:t>
      </w:r>
      <w:r w:rsidR="00117786">
        <w:t>historic agricultural buildings</w:t>
      </w:r>
      <w:r>
        <w:t>.  The Certified Local Government Program includes 1</w:t>
      </w:r>
      <w:r w:rsidR="00480410">
        <w:t>4</w:t>
      </w:r>
      <w:r>
        <w:t xml:space="preserve"> towns with local historic preservation commissions that play an active role in heritage stewardship in their communities and share some of DHP’s federal funds. As required under federal and state laws, the DHP also annually reviews development projects for their impact on historic and archeological resources. </w:t>
      </w:r>
      <w:r w:rsidR="00B93D16">
        <w:t xml:space="preserve">In </w:t>
      </w:r>
      <w:r w:rsidR="0056193B">
        <w:t>FY</w:t>
      </w:r>
      <w:r w:rsidR="00B93D16">
        <w:t>201</w:t>
      </w:r>
      <w:r w:rsidR="00864E11">
        <w:t>1,</w:t>
      </w:r>
      <w:r w:rsidR="00B93D16">
        <w:t xml:space="preserve"> </w:t>
      </w:r>
      <w:r w:rsidR="0056193B">
        <w:t>360</w:t>
      </w:r>
      <w:r w:rsidR="00B93D16">
        <w:t xml:space="preserve"> </w:t>
      </w:r>
      <w:r w:rsidR="0056193B">
        <w:t xml:space="preserve">state and federal </w:t>
      </w:r>
      <w:r w:rsidR="00B93D16">
        <w:t>projects were directly reviewed by DHP staff.</w:t>
      </w:r>
      <w:r>
        <w:t xml:space="preserve"> </w:t>
      </w:r>
      <w:r w:rsidR="00480410">
        <w:t>Technical assistance, e</w:t>
      </w:r>
      <w:r>
        <w:t>ducation</w:t>
      </w:r>
      <w:r w:rsidR="00480410">
        <w:t>,</w:t>
      </w:r>
      <w:r>
        <w:t xml:space="preserve"> and outreach play an important part of the DHP toolkit, reaching out to many diverse Vermonters through a variety of projects, programs and media. </w:t>
      </w:r>
      <w:r w:rsidR="00480410">
        <w:t>The DHP actively seeks outside grants to support special initiatives</w:t>
      </w:r>
      <w:r w:rsidR="00864E11">
        <w:t>,</w:t>
      </w:r>
      <w:r w:rsidR="00480410">
        <w:t xml:space="preserve"> such as the </w:t>
      </w:r>
      <w:r w:rsidR="00864E11">
        <w:t>Barn Census</w:t>
      </w:r>
      <w:r w:rsidR="00480410">
        <w:t xml:space="preserve"> project</w:t>
      </w:r>
      <w:r w:rsidR="0056193B">
        <w:t>.</w:t>
      </w:r>
      <w:r w:rsidR="004F0986">
        <w:t xml:space="preserve"> Nearly 1,000 historic barns were added to the Vermont Barn Census during calendar year 2011</w:t>
      </w:r>
      <w:r w:rsidR="00A63ECE">
        <w:t>; more than 2,000 historic barns will be added in 2012.</w:t>
      </w:r>
    </w:p>
    <w:p w:rsidR="001B0A84" w:rsidRDefault="001B0A84" w:rsidP="00117786"/>
    <w:tbl>
      <w:tblPr>
        <w:tblStyle w:val="TableGrid"/>
        <w:tblW w:w="0" w:type="auto"/>
        <w:tblLook w:val="04A0"/>
      </w:tblPr>
      <w:tblGrid>
        <w:gridCol w:w="7665"/>
        <w:gridCol w:w="1047"/>
        <w:gridCol w:w="1047"/>
        <w:gridCol w:w="1047"/>
        <w:gridCol w:w="1014"/>
        <w:gridCol w:w="1021"/>
      </w:tblGrid>
      <w:tr w:rsidR="003D499C" w:rsidRPr="001C0C86" w:rsidTr="003D499C">
        <w:trPr>
          <w:trHeight w:val="305"/>
        </w:trPr>
        <w:tc>
          <w:tcPr>
            <w:tcW w:w="7665" w:type="dxa"/>
          </w:tcPr>
          <w:p w:rsidR="003D499C" w:rsidRPr="00E705C2" w:rsidRDefault="003D499C" w:rsidP="00396064">
            <w:pPr>
              <w:rPr>
                <w:b/>
              </w:rPr>
            </w:pPr>
            <w:r>
              <w:br w:type="page"/>
            </w:r>
            <w:r w:rsidRPr="00E705C2">
              <w:rPr>
                <w:b/>
              </w:rPr>
              <w:t>FEDERAL ENVIRONMENTAL REVIEWS COMPLETED</w:t>
            </w:r>
          </w:p>
        </w:tc>
        <w:tc>
          <w:tcPr>
            <w:tcW w:w="1047" w:type="dxa"/>
          </w:tcPr>
          <w:p w:rsidR="003D499C" w:rsidRPr="00E705C2" w:rsidRDefault="003D499C" w:rsidP="00396064">
            <w:pPr>
              <w:jc w:val="center"/>
              <w:rPr>
                <w:b/>
              </w:rPr>
            </w:pPr>
            <w:r w:rsidRPr="00E705C2">
              <w:rPr>
                <w:b/>
              </w:rPr>
              <w:t>2009</w:t>
            </w:r>
          </w:p>
        </w:tc>
        <w:tc>
          <w:tcPr>
            <w:tcW w:w="1047" w:type="dxa"/>
          </w:tcPr>
          <w:p w:rsidR="003D499C" w:rsidRPr="00E705C2" w:rsidRDefault="003D499C" w:rsidP="00396064">
            <w:pPr>
              <w:jc w:val="center"/>
              <w:rPr>
                <w:b/>
              </w:rPr>
            </w:pPr>
            <w:r w:rsidRPr="00E705C2">
              <w:rPr>
                <w:b/>
              </w:rPr>
              <w:t>2010</w:t>
            </w:r>
          </w:p>
        </w:tc>
        <w:tc>
          <w:tcPr>
            <w:tcW w:w="1047" w:type="dxa"/>
          </w:tcPr>
          <w:p w:rsidR="003D499C" w:rsidRPr="00E705C2" w:rsidRDefault="003D499C" w:rsidP="00396064">
            <w:pPr>
              <w:jc w:val="center"/>
              <w:rPr>
                <w:b/>
              </w:rPr>
            </w:pPr>
            <w:r>
              <w:rPr>
                <w:b/>
              </w:rPr>
              <w:t>2011</w:t>
            </w:r>
          </w:p>
        </w:tc>
        <w:tc>
          <w:tcPr>
            <w:tcW w:w="1014" w:type="dxa"/>
          </w:tcPr>
          <w:p w:rsidR="003D499C" w:rsidRDefault="003D499C" w:rsidP="00396064">
            <w:pPr>
              <w:jc w:val="center"/>
              <w:rPr>
                <w:b/>
              </w:rPr>
            </w:pPr>
            <w:r>
              <w:rPr>
                <w:b/>
              </w:rPr>
              <w:t>2012</w:t>
            </w:r>
          </w:p>
        </w:tc>
        <w:tc>
          <w:tcPr>
            <w:tcW w:w="1021" w:type="dxa"/>
          </w:tcPr>
          <w:p w:rsidR="003D499C" w:rsidRDefault="003D499C" w:rsidP="00396064">
            <w:pPr>
              <w:jc w:val="center"/>
              <w:rPr>
                <w:b/>
              </w:rPr>
            </w:pPr>
            <w:r>
              <w:rPr>
                <w:b/>
              </w:rPr>
              <w:t>2013</w:t>
            </w:r>
          </w:p>
        </w:tc>
      </w:tr>
      <w:tr w:rsidR="003D499C" w:rsidRPr="001C0C86" w:rsidTr="003D499C">
        <w:trPr>
          <w:trHeight w:val="350"/>
        </w:trPr>
        <w:tc>
          <w:tcPr>
            <w:tcW w:w="7665" w:type="dxa"/>
          </w:tcPr>
          <w:p w:rsidR="003D499C" w:rsidRPr="00E705C2" w:rsidRDefault="003D499C" w:rsidP="00E705C2">
            <w:r>
              <w:t>Properties m</w:t>
            </w:r>
            <w:r w:rsidRPr="00E705C2">
              <w:t>eet</w:t>
            </w:r>
            <w:r>
              <w:t>ing National Register Criteria f</w:t>
            </w:r>
            <w:r w:rsidRPr="00E705C2">
              <w:t>or</w:t>
            </w:r>
            <w:r>
              <w:t xml:space="preserve"> which a written eligibility opinion i</w:t>
            </w:r>
            <w:r w:rsidRPr="00E705C2">
              <w:t xml:space="preserve">s </w:t>
            </w:r>
            <w:r>
              <w:t>p</w:t>
            </w:r>
            <w:r w:rsidRPr="00E705C2">
              <w:t>rovided</w:t>
            </w:r>
          </w:p>
        </w:tc>
        <w:tc>
          <w:tcPr>
            <w:tcW w:w="1047" w:type="dxa"/>
          </w:tcPr>
          <w:p w:rsidR="003D499C" w:rsidRPr="00E705C2" w:rsidRDefault="003D499C" w:rsidP="00396064">
            <w:pPr>
              <w:jc w:val="center"/>
            </w:pPr>
            <w:r w:rsidRPr="00E705C2">
              <w:t>166</w:t>
            </w:r>
          </w:p>
        </w:tc>
        <w:tc>
          <w:tcPr>
            <w:tcW w:w="1047" w:type="dxa"/>
          </w:tcPr>
          <w:p w:rsidR="003D499C" w:rsidRPr="00E705C2" w:rsidRDefault="003D499C" w:rsidP="00396064">
            <w:pPr>
              <w:jc w:val="center"/>
            </w:pPr>
            <w:r w:rsidRPr="00E705C2">
              <w:t>70</w:t>
            </w:r>
          </w:p>
        </w:tc>
        <w:tc>
          <w:tcPr>
            <w:tcW w:w="1047" w:type="dxa"/>
          </w:tcPr>
          <w:p w:rsidR="003D499C" w:rsidRPr="00E705C2" w:rsidRDefault="003D499C" w:rsidP="00396064">
            <w:pPr>
              <w:jc w:val="center"/>
            </w:pPr>
            <w:r>
              <w:t>64</w:t>
            </w:r>
          </w:p>
        </w:tc>
        <w:tc>
          <w:tcPr>
            <w:tcW w:w="1014" w:type="dxa"/>
          </w:tcPr>
          <w:p w:rsidR="003D499C" w:rsidRDefault="001322B2" w:rsidP="00396064">
            <w:pPr>
              <w:jc w:val="center"/>
            </w:pPr>
            <w:r>
              <w:t>75</w:t>
            </w:r>
          </w:p>
        </w:tc>
        <w:tc>
          <w:tcPr>
            <w:tcW w:w="1021" w:type="dxa"/>
          </w:tcPr>
          <w:p w:rsidR="003D499C" w:rsidRDefault="001322B2" w:rsidP="00396064">
            <w:pPr>
              <w:jc w:val="center"/>
            </w:pPr>
            <w:r>
              <w:t>70</w:t>
            </w:r>
          </w:p>
        </w:tc>
      </w:tr>
      <w:tr w:rsidR="003D499C" w:rsidRPr="001C0C86" w:rsidTr="003D499C">
        <w:trPr>
          <w:trHeight w:val="350"/>
        </w:trPr>
        <w:tc>
          <w:tcPr>
            <w:tcW w:w="7665" w:type="dxa"/>
          </w:tcPr>
          <w:p w:rsidR="003D499C" w:rsidRPr="00E705C2" w:rsidRDefault="003D499C" w:rsidP="00E705C2">
            <w:pPr>
              <w:tabs>
                <w:tab w:val="left" w:pos="288"/>
                <w:tab w:val="left" w:pos="360"/>
                <w:tab w:val="left" w:pos="6192"/>
                <w:tab w:val="left" w:pos="8280"/>
              </w:tabs>
            </w:pPr>
            <w:r>
              <w:t>Properties not meeting national register c</w:t>
            </w:r>
            <w:r w:rsidRPr="00E705C2">
              <w:t>riteria</w:t>
            </w:r>
            <w:r>
              <w:t xml:space="preserve"> for which a written eligibility opinion i</w:t>
            </w:r>
            <w:r w:rsidRPr="00E705C2">
              <w:t xml:space="preserve">s </w:t>
            </w:r>
            <w:r>
              <w:t>p</w:t>
            </w:r>
            <w:r w:rsidRPr="00E705C2">
              <w:t>rovided</w:t>
            </w:r>
          </w:p>
        </w:tc>
        <w:tc>
          <w:tcPr>
            <w:tcW w:w="1047" w:type="dxa"/>
          </w:tcPr>
          <w:p w:rsidR="003D499C" w:rsidRPr="00E705C2" w:rsidRDefault="003D499C" w:rsidP="00396064">
            <w:pPr>
              <w:jc w:val="center"/>
            </w:pPr>
            <w:r w:rsidRPr="00E705C2">
              <w:t>33</w:t>
            </w:r>
          </w:p>
        </w:tc>
        <w:tc>
          <w:tcPr>
            <w:tcW w:w="1047" w:type="dxa"/>
          </w:tcPr>
          <w:p w:rsidR="003D499C" w:rsidRPr="00E705C2" w:rsidRDefault="003D499C" w:rsidP="00396064">
            <w:pPr>
              <w:jc w:val="center"/>
            </w:pPr>
            <w:r w:rsidRPr="00E705C2">
              <w:t>21</w:t>
            </w:r>
          </w:p>
        </w:tc>
        <w:tc>
          <w:tcPr>
            <w:tcW w:w="1047" w:type="dxa"/>
          </w:tcPr>
          <w:p w:rsidR="003D499C" w:rsidRPr="00E705C2" w:rsidRDefault="003D499C" w:rsidP="00396064">
            <w:pPr>
              <w:jc w:val="center"/>
            </w:pPr>
            <w:r>
              <w:t>29</w:t>
            </w:r>
          </w:p>
        </w:tc>
        <w:tc>
          <w:tcPr>
            <w:tcW w:w="1014" w:type="dxa"/>
          </w:tcPr>
          <w:p w:rsidR="003D499C" w:rsidRDefault="001322B2" w:rsidP="00396064">
            <w:pPr>
              <w:jc w:val="center"/>
            </w:pPr>
            <w:r>
              <w:t>32</w:t>
            </w:r>
          </w:p>
        </w:tc>
        <w:tc>
          <w:tcPr>
            <w:tcW w:w="1021" w:type="dxa"/>
          </w:tcPr>
          <w:p w:rsidR="003D499C" w:rsidRDefault="001322B2" w:rsidP="00396064">
            <w:pPr>
              <w:jc w:val="center"/>
            </w:pPr>
            <w:r>
              <w:t>30</w:t>
            </w:r>
          </w:p>
        </w:tc>
      </w:tr>
      <w:tr w:rsidR="003D499C" w:rsidRPr="001C0C86" w:rsidTr="003D499C">
        <w:trPr>
          <w:trHeight w:val="350"/>
        </w:trPr>
        <w:tc>
          <w:tcPr>
            <w:tcW w:w="7665" w:type="dxa"/>
          </w:tcPr>
          <w:p w:rsidR="003D499C" w:rsidRPr="00E705C2" w:rsidRDefault="003D499C" w:rsidP="00E705C2">
            <w:pPr>
              <w:tabs>
                <w:tab w:val="left" w:pos="288"/>
                <w:tab w:val="left" w:pos="360"/>
                <w:tab w:val="left" w:pos="6192"/>
                <w:tab w:val="left" w:pos="8280"/>
              </w:tabs>
            </w:pPr>
            <w:r w:rsidRPr="00E705C2">
              <w:t xml:space="preserve">Findings of "No Properties" </w:t>
            </w:r>
            <w:r>
              <w:t>a</w:t>
            </w:r>
            <w:r w:rsidRPr="00E705C2">
              <w:t>nd /</w:t>
            </w:r>
            <w:r>
              <w:t>o</w:t>
            </w:r>
            <w:r w:rsidRPr="00E705C2">
              <w:t xml:space="preserve">r "No Effect" </w:t>
            </w:r>
            <w:r>
              <w:t>o</w:t>
            </w:r>
            <w:r w:rsidRPr="00E705C2">
              <w:t xml:space="preserve">n </w:t>
            </w:r>
            <w:r>
              <w:t>w</w:t>
            </w:r>
            <w:r w:rsidRPr="00E705C2">
              <w:t xml:space="preserve">hich </w:t>
            </w:r>
            <w:r>
              <w:t>w</w:t>
            </w:r>
            <w:r w:rsidRPr="00E705C2">
              <w:t xml:space="preserve">ritten </w:t>
            </w:r>
            <w:r>
              <w:t>o</w:t>
            </w:r>
            <w:r w:rsidRPr="00E705C2">
              <w:t xml:space="preserve">pinions </w:t>
            </w:r>
            <w:r>
              <w:t>a</w:t>
            </w:r>
            <w:r w:rsidRPr="00E705C2">
              <w:t xml:space="preserve">re </w:t>
            </w:r>
            <w:r>
              <w:t>p</w:t>
            </w:r>
            <w:r w:rsidRPr="00E705C2">
              <w:t>rovided</w:t>
            </w:r>
          </w:p>
        </w:tc>
        <w:tc>
          <w:tcPr>
            <w:tcW w:w="1047" w:type="dxa"/>
          </w:tcPr>
          <w:p w:rsidR="003D499C" w:rsidRPr="00E705C2" w:rsidRDefault="003D499C" w:rsidP="00396064">
            <w:pPr>
              <w:jc w:val="center"/>
            </w:pPr>
            <w:r w:rsidRPr="00E705C2">
              <w:t>915</w:t>
            </w:r>
          </w:p>
        </w:tc>
        <w:tc>
          <w:tcPr>
            <w:tcW w:w="1047" w:type="dxa"/>
          </w:tcPr>
          <w:p w:rsidR="003D499C" w:rsidRPr="00E705C2" w:rsidRDefault="003D499C" w:rsidP="00396064">
            <w:pPr>
              <w:jc w:val="center"/>
            </w:pPr>
            <w:r w:rsidRPr="00E705C2">
              <w:t>750</w:t>
            </w:r>
          </w:p>
        </w:tc>
        <w:tc>
          <w:tcPr>
            <w:tcW w:w="1047" w:type="dxa"/>
          </w:tcPr>
          <w:p w:rsidR="003D499C" w:rsidRPr="00E705C2" w:rsidRDefault="003D499C" w:rsidP="00396064">
            <w:pPr>
              <w:jc w:val="center"/>
            </w:pPr>
            <w:r>
              <w:t>1122</w:t>
            </w:r>
          </w:p>
        </w:tc>
        <w:tc>
          <w:tcPr>
            <w:tcW w:w="1014" w:type="dxa"/>
          </w:tcPr>
          <w:p w:rsidR="003D499C" w:rsidRDefault="001322B2" w:rsidP="00396064">
            <w:pPr>
              <w:jc w:val="center"/>
            </w:pPr>
            <w:r>
              <w:t>1,200</w:t>
            </w:r>
          </w:p>
        </w:tc>
        <w:tc>
          <w:tcPr>
            <w:tcW w:w="1021" w:type="dxa"/>
          </w:tcPr>
          <w:p w:rsidR="003D499C" w:rsidRDefault="001322B2" w:rsidP="00396064">
            <w:pPr>
              <w:jc w:val="center"/>
            </w:pPr>
            <w:r>
              <w:t>1,100</w:t>
            </w:r>
          </w:p>
        </w:tc>
      </w:tr>
      <w:tr w:rsidR="003D499C" w:rsidRPr="001C0C86" w:rsidTr="003D499C">
        <w:trPr>
          <w:trHeight w:val="350"/>
        </w:trPr>
        <w:tc>
          <w:tcPr>
            <w:tcW w:w="7665" w:type="dxa"/>
          </w:tcPr>
          <w:p w:rsidR="003D499C" w:rsidRPr="00E705C2" w:rsidRDefault="003D499C" w:rsidP="00E705C2">
            <w:pPr>
              <w:tabs>
                <w:tab w:val="left" w:pos="288"/>
                <w:tab w:val="left" w:pos="360"/>
                <w:tab w:val="left" w:pos="6192"/>
                <w:tab w:val="left" w:pos="8280"/>
              </w:tabs>
            </w:pPr>
            <w:r>
              <w:t>Other findings of "Effect" on w</w:t>
            </w:r>
            <w:r w:rsidRPr="00E705C2">
              <w:t>hich</w:t>
            </w:r>
            <w:r>
              <w:t xml:space="preserve"> w</w:t>
            </w:r>
            <w:r w:rsidRPr="00E705C2">
              <w:t>ritten</w:t>
            </w:r>
            <w:r>
              <w:t xml:space="preserve"> o</w:t>
            </w:r>
            <w:r w:rsidRPr="00E705C2">
              <w:t>pinions</w:t>
            </w:r>
            <w:r>
              <w:t xml:space="preserve"> a</w:t>
            </w:r>
            <w:r w:rsidRPr="00E705C2">
              <w:t xml:space="preserve">re </w:t>
            </w:r>
            <w:r>
              <w:t>p</w:t>
            </w:r>
            <w:r w:rsidRPr="00E705C2">
              <w:t>rovided</w:t>
            </w:r>
          </w:p>
        </w:tc>
        <w:tc>
          <w:tcPr>
            <w:tcW w:w="1047" w:type="dxa"/>
          </w:tcPr>
          <w:p w:rsidR="003D499C" w:rsidRPr="00E705C2" w:rsidRDefault="003D499C" w:rsidP="00396064">
            <w:pPr>
              <w:jc w:val="center"/>
            </w:pPr>
            <w:r w:rsidRPr="00E705C2">
              <w:t>195</w:t>
            </w:r>
          </w:p>
        </w:tc>
        <w:tc>
          <w:tcPr>
            <w:tcW w:w="1047" w:type="dxa"/>
          </w:tcPr>
          <w:p w:rsidR="003D499C" w:rsidRPr="00E705C2" w:rsidRDefault="003D499C" w:rsidP="00396064">
            <w:pPr>
              <w:jc w:val="center"/>
            </w:pPr>
            <w:r w:rsidRPr="00E705C2">
              <w:t>178</w:t>
            </w:r>
          </w:p>
        </w:tc>
        <w:tc>
          <w:tcPr>
            <w:tcW w:w="1047" w:type="dxa"/>
          </w:tcPr>
          <w:p w:rsidR="003D499C" w:rsidRPr="00E705C2" w:rsidRDefault="003D499C" w:rsidP="00396064">
            <w:pPr>
              <w:jc w:val="center"/>
            </w:pPr>
            <w:r>
              <w:t>207</w:t>
            </w:r>
          </w:p>
        </w:tc>
        <w:tc>
          <w:tcPr>
            <w:tcW w:w="1014" w:type="dxa"/>
          </w:tcPr>
          <w:p w:rsidR="003D499C" w:rsidRDefault="001322B2" w:rsidP="00396064">
            <w:pPr>
              <w:jc w:val="center"/>
            </w:pPr>
            <w:r>
              <w:t>225</w:t>
            </w:r>
          </w:p>
        </w:tc>
        <w:tc>
          <w:tcPr>
            <w:tcW w:w="1021" w:type="dxa"/>
          </w:tcPr>
          <w:p w:rsidR="003D499C" w:rsidRDefault="001322B2" w:rsidP="00396064">
            <w:pPr>
              <w:jc w:val="center"/>
            </w:pPr>
            <w:r>
              <w:t>200</w:t>
            </w:r>
          </w:p>
        </w:tc>
      </w:tr>
      <w:tr w:rsidR="003D499C" w:rsidRPr="001C0C86" w:rsidTr="003D499C">
        <w:trPr>
          <w:trHeight w:val="350"/>
        </w:trPr>
        <w:tc>
          <w:tcPr>
            <w:tcW w:w="7665" w:type="dxa"/>
          </w:tcPr>
          <w:p w:rsidR="003D499C" w:rsidRPr="00E705C2" w:rsidRDefault="003D499C" w:rsidP="001C0C86">
            <w:r>
              <w:t>Memoranda of agreement s</w:t>
            </w:r>
            <w:r w:rsidRPr="00E705C2">
              <w:t>igned</w:t>
            </w:r>
          </w:p>
        </w:tc>
        <w:tc>
          <w:tcPr>
            <w:tcW w:w="1047" w:type="dxa"/>
          </w:tcPr>
          <w:p w:rsidR="003D499C" w:rsidRPr="00E705C2" w:rsidRDefault="003D499C" w:rsidP="00396064">
            <w:pPr>
              <w:jc w:val="center"/>
            </w:pPr>
            <w:r w:rsidRPr="00E705C2">
              <w:t>4</w:t>
            </w:r>
          </w:p>
        </w:tc>
        <w:tc>
          <w:tcPr>
            <w:tcW w:w="1047" w:type="dxa"/>
          </w:tcPr>
          <w:p w:rsidR="003D499C" w:rsidRPr="00E705C2" w:rsidRDefault="003D499C" w:rsidP="00396064">
            <w:pPr>
              <w:jc w:val="center"/>
            </w:pPr>
            <w:r w:rsidRPr="00E705C2">
              <w:t>5</w:t>
            </w:r>
          </w:p>
        </w:tc>
        <w:tc>
          <w:tcPr>
            <w:tcW w:w="1047" w:type="dxa"/>
          </w:tcPr>
          <w:p w:rsidR="003D499C" w:rsidRPr="00E705C2" w:rsidRDefault="003D499C" w:rsidP="00396064">
            <w:pPr>
              <w:jc w:val="center"/>
            </w:pPr>
            <w:r>
              <w:t>6</w:t>
            </w:r>
          </w:p>
        </w:tc>
        <w:tc>
          <w:tcPr>
            <w:tcW w:w="1014" w:type="dxa"/>
          </w:tcPr>
          <w:p w:rsidR="003D499C" w:rsidRDefault="001322B2" w:rsidP="00396064">
            <w:pPr>
              <w:jc w:val="center"/>
            </w:pPr>
            <w:r>
              <w:t>5</w:t>
            </w:r>
          </w:p>
        </w:tc>
        <w:tc>
          <w:tcPr>
            <w:tcW w:w="1021" w:type="dxa"/>
          </w:tcPr>
          <w:p w:rsidR="003D499C" w:rsidRDefault="001322B2" w:rsidP="00396064">
            <w:pPr>
              <w:jc w:val="center"/>
            </w:pPr>
            <w:r>
              <w:t>5</w:t>
            </w:r>
          </w:p>
        </w:tc>
      </w:tr>
      <w:tr w:rsidR="003D499C" w:rsidRPr="001C0C86" w:rsidTr="003D499C">
        <w:trPr>
          <w:trHeight w:val="350"/>
        </w:trPr>
        <w:tc>
          <w:tcPr>
            <w:tcW w:w="7665" w:type="dxa"/>
          </w:tcPr>
          <w:p w:rsidR="003D499C" w:rsidRPr="00E705C2" w:rsidRDefault="003D499C" w:rsidP="001C0C86">
            <w:r>
              <w:t>Programmatic agreements s</w:t>
            </w:r>
            <w:r w:rsidRPr="00E705C2">
              <w:t>igned</w:t>
            </w:r>
          </w:p>
        </w:tc>
        <w:tc>
          <w:tcPr>
            <w:tcW w:w="1047" w:type="dxa"/>
          </w:tcPr>
          <w:p w:rsidR="003D499C" w:rsidRPr="00E705C2" w:rsidRDefault="003D499C" w:rsidP="00396064">
            <w:pPr>
              <w:jc w:val="center"/>
            </w:pPr>
            <w:r w:rsidRPr="00E705C2">
              <w:t>0</w:t>
            </w:r>
          </w:p>
        </w:tc>
        <w:tc>
          <w:tcPr>
            <w:tcW w:w="1047" w:type="dxa"/>
          </w:tcPr>
          <w:p w:rsidR="003D499C" w:rsidRPr="00E705C2" w:rsidRDefault="003D499C" w:rsidP="00396064">
            <w:pPr>
              <w:jc w:val="center"/>
            </w:pPr>
            <w:r w:rsidRPr="00E705C2">
              <w:t>2</w:t>
            </w:r>
          </w:p>
        </w:tc>
        <w:tc>
          <w:tcPr>
            <w:tcW w:w="1047" w:type="dxa"/>
          </w:tcPr>
          <w:p w:rsidR="003D499C" w:rsidRPr="00E705C2" w:rsidRDefault="003D499C" w:rsidP="00396064">
            <w:pPr>
              <w:jc w:val="center"/>
            </w:pPr>
            <w:r>
              <w:t>1</w:t>
            </w:r>
          </w:p>
        </w:tc>
        <w:tc>
          <w:tcPr>
            <w:tcW w:w="1014" w:type="dxa"/>
          </w:tcPr>
          <w:p w:rsidR="003D499C" w:rsidRDefault="001322B2" w:rsidP="00396064">
            <w:pPr>
              <w:jc w:val="center"/>
            </w:pPr>
            <w:r>
              <w:t>1</w:t>
            </w:r>
          </w:p>
        </w:tc>
        <w:tc>
          <w:tcPr>
            <w:tcW w:w="1021" w:type="dxa"/>
          </w:tcPr>
          <w:p w:rsidR="003D499C" w:rsidRDefault="001322B2" w:rsidP="00396064">
            <w:pPr>
              <w:jc w:val="center"/>
            </w:pPr>
            <w:r>
              <w:t>0</w:t>
            </w:r>
          </w:p>
        </w:tc>
      </w:tr>
    </w:tbl>
    <w:p w:rsidR="001C0C86" w:rsidRDefault="001C0C86" w:rsidP="003D499C"/>
    <w:p w:rsidR="003D499C" w:rsidRDefault="003D499C" w:rsidP="003D499C">
      <w:r w:rsidRPr="003D499C">
        <w:rPr>
          <w:sz w:val="18"/>
          <w:szCs w:val="18"/>
        </w:rPr>
        <w:t>*The numbers for 2012 and 2013 are projected estimates only</w:t>
      </w:r>
      <w:r>
        <w:t>.</w:t>
      </w:r>
    </w:p>
    <w:p w:rsidR="003D499C" w:rsidRPr="000923E5" w:rsidRDefault="003D499C" w:rsidP="003D499C"/>
    <w:p w:rsidR="00482780" w:rsidRDefault="00480410" w:rsidP="002F5B01">
      <w:pPr>
        <w:pStyle w:val="ListParagraph"/>
        <w:numPr>
          <w:ilvl w:val="0"/>
          <w:numId w:val="10"/>
        </w:numPr>
        <w:ind w:left="360"/>
      </w:pPr>
      <w:r>
        <w:t>Number of Certified Local Governments: 14</w:t>
      </w:r>
    </w:p>
    <w:p w:rsidR="003D499C" w:rsidRDefault="003D499C" w:rsidP="003D499C">
      <w:pPr>
        <w:pStyle w:val="ListParagraph"/>
        <w:ind w:left="360"/>
      </w:pPr>
    </w:p>
    <w:p w:rsidR="00617126" w:rsidRDefault="00617126" w:rsidP="00617126">
      <w:pPr>
        <w:pStyle w:val="ListParagraph"/>
        <w:numPr>
          <w:ilvl w:val="4"/>
          <w:numId w:val="9"/>
        </w:numPr>
      </w:pPr>
      <w:r>
        <w:t>Since the creation</w:t>
      </w:r>
      <w:r w:rsidR="004F7ABA">
        <w:t xml:space="preserve"> of the </w:t>
      </w:r>
      <w:r w:rsidR="004F7ABA" w:rsidRPr="00482780">
        <w:rPr>
          <w:b/>
        </w:rPr>
        <w:t>Historic Barn Grants</w:t>
      </w:r>
      <w:r>
        <w:t xml:space="preserve"> in 1991, </w:t>
      </w:r>
      <w:r w:rsidR="00482780">
        <w:t>over</w:t>
      </w:r>
      <w:r>
        <w:t xml:space="preserve"> 2</w:t>
      </w:r>
      <w:r w:rsidR="00482780">
        <w:t>15</w:t>
      </w:r>
      <w:r>
        <w:t xml:space="preserve"> agricultural buildings owned by municipalities, non-profits, and private prope</w:t>
      </w:r>
      <w:r w:rsidR="009A5230">
        <w:t xml:space="preserve">rty owners have received </w:t>
      </w:r>
      <w:r w:rsidR="00482780">
        <w:t>almost</w:t>
      </w:r>
      <w:r w:rsidR="009A5230">
        <w:t xml:space="preserve"> $</w:t>
      </w:r>
      <w:r w:rsidR="00482780">
        <w:t>2.0</w:t>
      </w:r>
      <w:r>
        <w:t xml:space="preserve"> million, leveraging typically 5 times as much in non-state funds</w:t>
      </w:r>
      <w:r w:rsidR="009A5230">
        <w:t>.</w:t>
      </w:r>
      <w:r>
        <w:t xml:space="preserve"> </w:t>
      </w:r>
    </w:p>
    <w:p w:rsidR="00761CF2" w:rsidRDefault="00761CF2" w:rsidP="00761CF2">
      <w:pPr>
        <w:pStyle w:val="ListParagraph"/>
      </w:pPr>
    </w:p>
    <w:tbl>
      <w:tblPr>
        <w:tblStyle w:val="TableGrid"/>
        <w:tblW w:w="0" w:type="auto"/>
        <w:tblInd w:w="2004" w:type="dxa"/>
        <w:tblLook w:val="04A0"/>
      </w:tblPr>
      <w:tblGrid>
        <w:gridCol w:w="1719"/>
        <w:gridCol w:w="1441"/>
        <w:gridCol w:w="1313"/>
        <w:gridCol w:w="1755"/>
      </w:tblGrid>
      <w:tr w:rsidR="00761CF2" w:rsidTr="004F7ABA">
        <w:tc>
          <w:tcPr>
            <w:tcW w:w="1719" w:type="dxa"/>
          </w:tcPr>
          <w:p w:rsidR="00761CF2" w:rsidRPr="00030D8D" w:rsidRDefault="00761CF2" w:rsidP="00030D8D">
            <w:pPr>
              <w:jc w:val="center"/>
              <w:rPr>
                <w:b/>
              </w:rPr>
            </w:pPr>
            <w:r w:rsidRPr="00030D8D">
              <w:rPr>
                <w:b/>
              </w:rPr>
              <w:t>BARN GRANTS</w:t>
            </w:r>
            <w:r w:rsidR="001322B2">
              <w:rPr>
                <w:b/>
              </w:rPr>
              <w:t>*</w:t>
            </w:r>
          </w:p>
          <w:p w:rsidR="00761CF2" w:rsidRPr="00030D8D" w:rsidRDefault="00761CF2" w:rsidP="00030D8D">
            <w:pPr>
              <w:jc w:val="center"/>
              <w:rPr>
                <w:b/>
              </w:rPr>
            </w:pPr>
            <w:r w:rsidRPr="00030D8D">
              <w:rPr>
                <w:b/>
              </w:rPr>
              <w:t>Year</w:t>
            </w:r>
          </w:p>
        </w:tc>
        <w:tc>
          <w:tcPr>
            <w:tcW w:w="1441" w:type="dxa"/>
          </w:tcPr>
          <w:p w:rsidR="00761CF2" w:rsidRPr="00030D8D" w:rsidRDefault="00761CF2" w:rsidP="00030D8D">
            <w:pPr>
              <w:jc w:val="center"/>
              <w:rPr>
                <w:b/>
              </w:rPr>
            </w:pPr>
            <w:r w:rsidRPr="00030D8D">
              <w:rPr>
                <w:b/>
              </w:rPr>
              <w:t># of Grants Awarded</w:t>
            </w:r>
          </w:p>
        </w:tc>
        <w:tc>
          <w:tcPr>
            <w:tcW w:w="1313" w:type="dxa"/>
          </w:tcPr>
          <w:p w:rsidR="00761CF2" w:rsidRPr="00030D8D" w:rsidRDefault="00761CF2" w:rsidP="00030D8D">
            <w:pPr>
              <w:jc w:val="center"/>
              <w:rPr>
                <w:b/>
              </w:rPr>
            </w:pPr>
            <w:r w:rsidRPr="00030D8D">
              <w:rPr>
                <w:b/>
              </w:rPr>
              <w:t>Grant Amount</w:t>
            </w:r>
          </w:p>
          <w:p w:rsidR="00761CF2" w:rsidRPr="00030D8D" w:rsidRDefault="00761CF2" w:rsidP="00030D8D">
            <w:pPr>
              <w:jc w:val="center"/>
              <w:rPr>
                <w:b/>
              </w:rPr>
            </w:pPr>
            <w:r w:rsidRPr="00030D8D">
              <w:rPr>
                <w:b/>
              </w:rPr>
              <w:t>Awarded</w:t>
            </w:r>
          </w:p>
        </w:tc>
        <w:tc>
          <w:tcPr>
            <w:tcW w:w="1755" w:type="dxa"/>
          </w:tcPr>
          <w:p w:rsidR="00761CF2" w:rsidRPr="00030D8D" w:rsidRDefault="00761CF2" w:rsidP="00030D8D">
            <w:pPr>
              <w:jc w:val="center"/>
              <w:rPr>
                <w:b/>
              </w:rPr>
            </w:pPr>
            <w:r w:rsidRPr="00030D8D">
              <w:rPr>
                <w:b/>
              </w:rPr>
              <w:t>Total Project Cost</w:t>
            </w:r>
          </w:p>
        </w:tc>
      </w:tr>
      <w:tr w:rsidR="001322B2" w:rsidTr="004F7ABA">
        <w:tc>
          <w:tcPr>
            <w:tcW w:w="1719" w:type="dxa"/>
          </w:tcPr>
          <w:p w:rsidR="001322B2" w:rsidRDefault="001322B2" w:rsidP="00030D8D">
            <w:pPr>
              <w:jc w:val="center"/>
            </w:pPr>
            <w:r>
              <w:t>2013**</w:t>
            </w:r>
          </w:p>
        </w:tc>
        <w:tc>
          <w:tcPr>
            <w:tcW w:w="1441" w:type="dxa"/>
          </w:tcPr>
          <w:p w:rsidR="001322B2" w:rsidRPr="001322B2" w:rsidRDefault="001322B2">
            <w:pPr>
              <w:jc w:val="center"/>
              <w:rPr>
                <w:rFonts w:eastAsiaTheme="minorHAnsi"/>
              </w:rPr>
            </w:pPr>
            <w:r w:rsidRPr="001322B2">
              <w:t>20</w:t>
            </w:r>
          </w:p>
        </w:tc>
        <w:tc>
          <w:tcPr>
            <w:tcW w:w="1313" w:type="dxa"/>
          </w:tcPr>
          <w:p w:rsidR="001322B2" w:rsidRPr="001322B2" w:rsidRDefault="001322B2">
            <w:pPr>
              <w:jc w:val="center"/>
              <w:rPr>
                <w:rFonts w:eastAsiaTheme="minorHAnsi"/>
              </w:rPr>
            </w:pPr>
            <w:r w:rsidRPr="001322B2">
              <w:t>$225,000</w:t>
            </w:r>
          </w:p>
        </w:tc>
        <w:tc>
          <w:tcPr>
            <w:tcW w:w="1755" w:type="dxa"/>
          </w:tcPr>
          <w:p w:rsidR="001322B2" w:rsidRPr="001322B2" w:rsidRDefault="001322B2">
            <w:pPr>
              <w:jc w:val="center"/>
              <w:rPr>
                <w:rFonts w:eastAsiaTheme="minorHAnsi"/>
              </w:rPr>
            </w:pPr>
            <w:r w:rsidRPr="001322B2">
              <w:t>$900,000</w:t>
            </w:r>
          </w:p>
        </w:tc>
      </w:tr>
      <w:tr w:rsidR="001322B2" w:rsidTr="004F7ABA">
        <w:tc>
          <w:tcPr>
            <w:tcW w:w="1719" w:type="dxa"/>
          </w:tcPr>
          <w:p w:rsidR="001322B2" w:rsidRDefault="001322B2" w:rsidP="00030D8D">
            <w:pPr>
              <w:jc w:val="center"/>
            </w:pPr>
            <w:r>
              <w:t>2012**</w:t>
            </w:r>
          </w:p>
        </w:tc>
        <w:tc>
          <w:tcPr>
            <w:tcW w:w="1441" w:type="dxa"/>
          </w:tcPr>
          <w:p w:rsidR="001322B2" w:rsidRPr="001322B2" w:rsidRDefault="001322B2">
            <w:pPr>
              <w:jc w:val="center"/>
              <w:rPr>
                <w:rFonts w:eastAsiaTheme="minorHAnsi"/>
              </w:rPr>
            </w:pPr>
            <w:r w:rsidRPr="001322B2">
              <w:t>20</w:t>
            </w:r>
          </w:p>
        </w:tc>
        <w:tc>
          <w:tcPr>
            <w:tcW w:w="1313" w:type="dxa"/>
          </w:tcPr>
          <w:p w:rsidR="001322B2" w:rsidRPr="001322B2" w:rsidRDefault="001322B2">
            <w:pPr>
              <w:jc w:val="center"/>
              <w:rPr>
                <w:rFonts w:eastAsiaTheme="minorHAnsi"/>
              </w:rPr>
            </w:pPr>
            <w:r w:rsidRPr="001322B2">
              <w:t>$225,000</w:t>
            </w:r>
          </w:p>
        </w:tc>
        <w:tc>
          <w:tcPr>
            <w:tcW w:w="1755" w:type="dxa"/>
          </w:tcPr>
          <w:p w:rsidR="001322B2" w:rsidRPr="001322B2" w:rsidRDefault="001322B2">
            <w:pPr>
              <w:jc w:val="center"/>
              <w:rPr>
                <w:rFonts w:eastAsiaTheme="minorHAnsi"/>
              </w:rPr>
            </w:pPr>
            <w:r w:rsidRPr="001322B2">
              <w:t>$900,000</w:t>
            </w:r>
          </w:p>
        </w:tc>
      </w:tr>
      <w:tr w:rsidR="00482780" w:rsidTr="004F7ABA">
        <w:tc>
          <w:tcPr>
            <w:tcW w:w="1719" w:type="dxa"/>
          </w:tcPr>
          <w:p w:rsidR="00482780" w:rsidRPr="00030D8D" w:rsidRDefault="00482780" w:rsidP="00030D8D">
            <w:pPr>
              <w:jc w:val="center"/>
            </w:pPr>
            <w:r>
              <w:t>2011</w:t>
            </w:r>
          </w:p>
        </w:tc>
        <w:tc>
          <w:tcPr>
            <w:tcW w:w="1441" w:type="dxa"/>
          </w:tcPr>
          <w:p w:rsidR="00482780" w:rsidRPr="00030D8D" w:rsidRDefault="00482780" w:rsidP="00030D8D">
            <w:pPr>
              <w:jc w:val="center"/>
            </w:pPr>
            <w:r>
              <w:t>21</w:t>
            </w:r>
          </w:p>
        </w:tc>
        <w:tc>
          <w:tcPr>
            <w:tcW w:w="1313" w:type="dxa"/>
          </w:tcPr>
          <w:p w:rsidR="00482780" w:rsidRPr="00030D8D" w:rsidRDefault="00482780" w:rsidP="00030D8D">
            <w:pPr>
              <w:jc w:val="center"/>
            </w:pPr>
            <w:r>
              <w:t>$ 193,907</w:t>
            </w:r>
          </w:p>
        </w:tc>
        <w:tc>
          <w:tcPr>
            <w:tcW w:w="1755" w:type="dxa"/>
          </w:tcPr>
          <w:p w:rsidR="00482780" w:rsidRPr="00030D8D" w:rsidRDefault="00482780" w:rsidP="00030D8D">
            <w:pPr>
              <w:jc w:val="center"/>
            </w:pPr>
            <w:r>
              <w:t>$ 598,196</w:t>
            </w:r>
          </w:p>
        </w:tc>
      </w:tr>
      <w:tr w:rsidR="00761CF2" w:rsidTr="004F7ABA">
        <w:tc>
          <w:tcPr>
            <w:tcW w:w="1719" w:type="dxa"/>
          </w:tcPr>
          <w:p w:rsidR="00761CF2" w:rsidRPr="00030D8D" w:rsidRDefault="00761CF2" w:rsidP="00030D8D">
            <w:pPr>
              <w:jc w:val="center"/>
            </w:pPr>
            <w:r w:rsidRPr="00030D8D">
              <w:t>2010</w:t>
            </w:r>
          </w:p>
        </w:tc>
        <w:tc>
          <w:tcPr>
            <w:tcW w:w="1441" w:type="dxa"/>
          </w:tcPr>
          <w:p w:rsidR="00761CF2" w:rsidRPr="00030D8D" w:rsidRDefault="00761CF2" w:rsidP="00030D8D">
            <w:pPr>
              <w:jc w:val="center"/>
            </w:pPr>
            <w:r w:rsidRPr="00030D8D">
              <w:t>25</w:t>
            </w:r>
          </w:p>
        </w:tc>
        <w:tc>
          <w:tcPr>
            <w:tcW w:w="1313" w:type="dxa"/>
          </w:tcPr>
          <w:p w:rsidR="00761CF2" w:rsidRPr="00030D8D" w:rsidRDefault="00761CF2" w:rsidP="00030D8D">
            <w:pPr>
              <w:jc w:val="center"/>
            </w:pPr>
            <w:r w:rsidRPr="00030D8D">
              <w:t>$ 208,723</w:t>
            </w:r>
          </w:p>
        </w:tc>
        <w:tc>
          <w:tcPr>
            <w:tcW w:w="1755" w:type="dxa"/>
          </w:tcPr>
          <w:p w:rsidR="00761CF2" w:rsidRPr="00030D8D" w:rsidRDefault="00761CF2" w:rsidP="00030D8D">
            <w:pPr>
              <w:jc w:val="center"/>
            </w:pPr>
            <w:r w:rsidRPr="00030D8D">
              <w:t>$ 780,833</w:t>
            </w:r>
          </w:p>
        </w:tc>
      </w:tr>
      <w:tr w:rsidR="00761CF2" w:rsidTr="004F7ABA">
        <w:tc>
          <w:tcPr>
            <w:tcW w:w="1719" w:type="dxa"/>
          </w:tcPr>
          <w:p w:rsidR="00761CF2" w:rsidRPr="00030D8D" w:rsidRDefault="00761CF2" w:rsidP="00030D8D">
            <w:pPr>
              <w:jc w:val="center"/>
            </w:pPr>
            <w:r w:rsidRPr="00030D8D">
              <w:t>2009</w:t>
            </w:r>
          </w:p>
        </w:tc>
        <w:tc>
          <w:tcPr>
            <w:tcW w:w="1441" w:type="dxa"/>
          </w:tcPr>
          <w:p w:rsidR="00761CF2" w:rsidRPr="00030D8D" w:rsidRDefault="00761CF2" w:rsidP="00030D8D">
            <w:pPr>
              <w:jc w:val="center"/>
            </w:pPr>
            <w:r w:rsidRPr="00030D8D">
              <w:t>19</w:t>
            </w:r>
          </w:p>
        </w:tc>
        <w:tc>
          <w:tcPr>
            <w:tcW w:w="1313" w:type="dxa"/>
          </w:tcPr>
          <w:p w:rsidR="00761CF2" w:rsidRPr="00030D8D" w:rsidRDefault="00761CF2" w:rsidP="00030D8D">
            <w:pPr>
              <w:jc w:val="center"/>
            </w:pPr>
            <w:r w:rsidRPr="00030D8D">
              <w:t>$ 154,750</w:t>
            </w:r>
          </w:p>
        </w:tc>
        <w:tc>
          <w:tcPr>
            <w:tcW w:w="1755" w:type="dxa"/>
          </w:tcPr>
          <w:p w:rsidR="00761CF2" w:rsidRPr="00030D8D" w:rsidRDefault="00761CF2" w:rsidP="00030D8D">
            <w:pPr>
              <w:jc w:val="center"/>
            </w:pPr>
            <w:r w:rsidRPr="00030D8D">
              <w:t>$ 443,762</w:t>
            </w:r>
          </w:p>
        </w:tc>
      </w:tr>
      <w:tr w:rsidR="00761CF2" w:rsidTr="004F7ABA">
        <w:tc>
          <w:tcPr>
            <w:tcW w:w="1719" w:type="dxa"/>
          </w:tcPr>
          <w:p w:rsidR="00761CF2" w:rsidRPr="00030D8D" w:rsidRDefault="00761CF2" w:rsidP="00030D8D">
            <w:pPr>
              <w:jc w:val="center"/>
            </w:pPr>
            <w:r w:rsidRPr="00030D8D">
              <w:t>2008</w:t>
            </w:r>
          </w:p>
        </w:tc>
        <w:tc>
          <w:tcPr>
            <w:tcW w:w="1441" w:type="dxa"/>
          </w:tcPr>
          <w:p w:rsidR="00761CF2" w:rsidRPr="00030D8D" w:rsidRDefault="00761CF2" w:rsidP="00030D8D">
            <w:pPr>
              <w:jc w:val="center"/>
            </w:pPr>
            <w:r w:rsidRPr="00030D8D">
              <w:t>23</w:t>
            </w:r>
          </w:p>
        </w:tc>
        <w:tc>
          <w:tcPr>
            <w:tcW w:w="1313" w:type="dxa"/>
          </w:tcPr>
          <w:p w:rsidR="00761CF2" w:rsidRPr="00030D8D" w:rsidRDefault="00761CF2" w:rsidP="00030D8D">
            <w:pPr>
              <w:jc w:val="center"/>
            </w:pPr>
            <w:r w:rsidRPr="00030D8D">
              <w:t>$ 208,966</w:t>
            </w:r>
          </w:p>
        </w:tc>
        <w:tc>
          <w:tcPr>
            <w:tcW w:w="1755" w:type="dxa"/>
          </w:tcPr>
          <w:p w:rsidR="00761CF2" w:rsidRPr="00030D8D" w:rsidRDefault="00761CF2" w:rsidP="00030D8D">
            <w:pPr>
              <w:jc w:val="center"/>
            </w:pPr>
            <w:r w:rsidRPr="00030D8D">
              <w:t>$ 530,909</w:t>
            </w:r>
          </w:p>
        </w:tc>
      </w:tr>
    </w:tbl>
    <w:p w:rsidR="00761CF2" w:rsidRDefault="00761CF2" w:rsidP="003D499C"/>
    <w:p w:rsidR="001322B2" w:rsidRPr="001322B2" w:rsidRDefault="001322B2" w:rsidP="001322B2">
      <w:pPr>
        <w:rPr>
          <w:sz w:val="18"/>
          <w:szCs w:val="18"/>
        </w:rPr>
      </w:pPr>
      <w:r w:rsidRPr="001322B2">
        <w:rPr>
          <w:sz w:val="18"/>
          <w:szCs w:val="18"/>
        </w:rPr>
        <w:t>*</w:t>
      </w:r>
      <w:r>
        <w:rPr>
          <w:sz w:val="18"/>
          <w:szCs w:val="18"/>
        </w:rPr>
        <w:t xml:space="preserve"> </w:t>
      </w:r>
      <w:r w:rsidRPr="001322B2">
        <w:rPr>
          <w:sz w:val="18"/>
          <w:szCs w:val="18"/>
        </w:rPr>
        <w:t>In 2012</w:t>
      </w:r>
      <w:r>
        <w:rPr>
          <w:sz w:val="18"/>
          <w:szCs w:val="18"/>
        </w:rPr>
        <w:t>,</w:t>
      </w:r>
      <w:r w:rsidRPr="001322B2">
        <w:rPr>
          <w:sz w:val="18"/>
          <w:szCs w:val="18"/>
        </w:rPr>
        <w:t xml:space="preserve"> the maximum grant award available for Barn Grants was increased from $10,000 to $15,000.</w:t>
      </w:r>
    </w:p>
    <w:p w:rsidR="003D499C" w:rsidRPr="001322B2" w:rsidRDefault="003D499C" w:rsidP="003D499C">
      <w:pPr>
        <w:rPr>
          <w:sz w:val="18"/>
          <w:szCs w:val="18"/>
        </w:rPr>
      </w:pPr>
      <w:r w:rsidRPr="001322B2">
        <w:rPr>
          <w:sz w:val="18"/>
          <w:szCs w:val="18"/>
        </w:rPr>
        <w:t>*</w:t>
      </w:r>
      <w:r w:rsidR="001322B2">
        <w:rPr>
          <w:sz w:val="18"/>
          <w:szCs w:val="18"/>
        </w:rPr>
        <w:t>*</w:t>
      </w:r>
      <w:r w:rsidRPr="001322B2">
        <w:rPr>
          <w:sz w:val="18"/>
          <w:szCs w:val="18"/>
        </w:rPr>
        <w:t>The numbers for 2012 and 2013 are projected estimates only.</w:t>
      </w:r>
    </w:p>
    <w:p w:rsidR="001322B2" w:rsidRDefault="001322B2" w:rsidP="003D499C"/>
    <w:p w:rsidR="00761CF2" w:rsidRDefault="00617126" w:rsidP="002F5B01">
      <w:pPr>
        <w:pStyle w:val="ListParagraph"/>
        <w:numPr>
          <w:ilvl w:val="4"/>
          <w:numId w:val="11"/>
        </w:numPr>
      </w:pPr>
      <w:r>
        <w:t xml:space="preserve">Since the creation </w:t>
      </w:r>
      <w:r w:rsidR="00A019A8">
        <w:t xml:space="preserve">of the </w:t>
      </w:r>
      <w:r w:rsidR="00A019A8" w:rsidRPr="00482780">
        <w:rPr>
          <w:b/>
        </w:rPr>
        <w:t>Historic Preservation Grants</w:t>
      </w:r>
      <w:r w:rsidR="00A019A8">
        <w:t xml:space="preserve"> </w:t>
      </w:r>
      <w:r>
        <w:t xml:space="preserve">in 1986, approximately 500 historic buildings owned by municipalities and non-profits have received over $ 3.7 million, leveraging typically 5 times as much in non-state funds for these projects. </w:t>
      </w:r>
    </w:p>
    <w:p w:rsidR="001C0C86" w:rsidRDefault="001C0C86" w:rsidP="001C0C86">
      <w:pPr>
        <w:pStyle w:val="ListParagraph"/>
        <w:ind w:left="360"/>
      </w:pPr>
    </w:p>
    <w:tbl>
      <w:tblPr>
        <w:tblStyle w:val="TableGrid"/>
        <w:tblW w:w="0" w:type="auto"/>
        <w:tblInd w:w="1914" w:type="dxa"/>
        <w:tblLook w:val="04A0"/>
      </w:tblPr>
      <w:tblGrid>
        <w:gridCol w:w="1965"/>
        <w:gridCol w:w="1441"/>
        <w:gridCol w:w="1313"/>
        <w:gridCol w:w="1755"/>
      </w:tblGrid>
      <w:tr w:rsidR="00761CF2" w:rsidRPr="00030D8D" w:rsidTr="00A019A8">
        <w:tc>
          <w:tcPr>
            <w:tcW w:w="1965" w:type="dxa"/>
          </w:tcPr>
          <w:p w:rsidR="00761CF2" w:rsidRPr="00030D8D" w:rsidRDefault="00761CF2" w:rsidP="00030D8D">
            <w:pPr>
              <w:jc w:val="center"/>
              <w:rPr>
                <w:b/>
              </w:rPr>
            </w:pPr>
            <w:r w:rsidRPr="00030D8D">
              <w:rPr>
                <w:b/>
              </w:rPr>
              <w:t>HISTORIC PRESERVATION GRANTS</w:t>
            </w:r>
            <w:r w:rsidR="009D75D2">
              <w:rPr>
                <w:b/>
              </w:rPr>
              <w:t>*</w:t>
            </w:r>
          </w:p>
          <w:p w:rsidR="00761CF2" w:rsidRPr="00030D8D" w:rsidRDefault="00761CF2" w:rsidP="00030D8D">
            <w:pPr>
              <w:jc w:val="center"/>
              <w:rPr>
                <w:b/>
              </w:rPr>
            </w:pPr>
            <w:r w:rsidRPr="00030D8D">
              <w:rPr>
                <w:b/>
              </w:rPr>
              <w:t>Year</w:t>
            </w:r>
          </w:p>
        </w:tc>
        <w:tc>
          <w:tcPr>
            <w:tcW w:w="1441" w:type="dxa"/>
          </w:tcPr>
          <w:p w:rsidR="00761CF2" w:rsidRPr="00030D8D" w:rsidRDefault="00761CF2" w:rsidP="00030D8D">
            <w:pPr>
              <w:jc w:val="center"/>
              <w:rPr>
                <w:b/>
              </w:rPr>
            </w:pPr>
            <w:r w:rsidRPr="00030D8D">
              <w:rPr>
                <w:b/>
              </w:rPr>
              <w:t># of Grants Awarded</w:t>
            </w:r>
          </w:p>
        </w:tc>
        <w:tc>
          <w:tcPr>
            <w:tcW w:w="1313" w:type="dxa"/>
          </w:tcPr>
          <w:p w:rsidR="00761CF2" w:rsidRPr="00030D8D" w:rsidRDefault="00761CF2" w:rsidP="00030D8D">
            <w:pPr>
              <w:jc w:val="center"/>
              <w:rPr>
                <w:b/>
              </w:rPr>
            </w:pPr>
            <w:r w:rsidRPr="00030D8D">
              <w:rPr>
                <w:b/>
              </w:rPr>
              <w:t>Grant Amount</w:t>
            </w:r>
          </w:p>
          <w:p w:rsidR="00761CF2" w:rsidRPr="00030D8D" w:rsidRDefault="00761CF2" w:rsidP="00030D8D">
            <w:pPr>
              <w:jc w:val="center"/>
              <w:rPr>
                <w:b/>
              </w:rPr>
            </w:pPr>
            <w:r w:rsidRPr="00030D8D">
              <w:rPr>
                <w:b/>
              </w:rPr>
              <w:t>Awarded</w:t>
            </w:r>
          </w:p>
        </w:tc>
        <w:tc>
          <w:tcPr>
            <w:tcW w:w="1755" w:type="dxa"/>
          </w:tcPr>
          <w:p w:rsidR="00761CF2" w:rsidRPr="00030D8D" w:rsidRDefault="00761CF2" w:rsidP="00030D8D">
            <w:pPr>
              <w:jc w:val="center"/>
              <w:rPr>
                <w:b/>
              </w:rPr>
            </w:pPr>
            <w:r w:rsidRPr="00030D8D">
              <w:rPr>
                <w:b/>
              </w:rPr>
              <w:t>Total Project Cost</w:t>
            </w:r>
          </w:p>
        </w:tc>
      </w:tr>
      <w:tr w:rsidR="001322B2" w:rsidRPr="00030D8D" w:rsidTr="00A019A8">
        <w:tc>
          <w:tcPr>
            <w:tcW w:w="1965" w:type="dxa"/>
          </w:tcPr>
          <w:p w:rsidR="001322B2" w:rsidRDefault="001322B2" w:rsidP="00030D8D">
            <w:pPr>
              <w:jc w:val="center"/>
            </w:pPr>
            <w:r>
              <w:t>2013*</w:t>
            </w:r>
            <w:r w:rsidR="009D75D2">
              <w:t>*</w:t>
            </w:r>
          </w:p>
        </w:tc>
        <w:tc>
          <w:tcPr>
            <w:tcW w:w="1441" w:type="dxa"/>
          </w:tcPr>
          <w:p w:rsidR="001322B2" w:rsidRPr="001322B2" w:rsidRDefault="001322B2">
            <w:pPr>
              <w:jc w:val="center"/>
              <w:rPr>
                <w:rFonts w:eastAsiaTheme="minorHAnsi"/>
              </w:rPr>
            </w:pPr>
            <w:r w:rsidRPr="001322B2">
              <w:t>15</w:t>
            </w:r>
          </w:p>
        </w:tc>
        <w:tc>
          <w:tcPr>
            <w:tcW w:w="1313" w:type="dxa"/>
          </w:tcPr>
          <w:p w:rsidR="001322B2" w:rsidRPr="001322B2" w:rsidRDefault="001322B2">
            <w:pPr>
              <w:jc w:val="center"/>
              <w:rPr>
                <w:rFonts w:eastAsiaTheme="minorHAnsi"/>
              </w:rPr>
            </w:pPr>
            <w:r w:rsidRPr="001322B2">
              <w:t>$225,000</w:t>
            </w:r>
          </w:p>
        </w:tc>
        <w:tc>
          <w:tcPr>
            <w:tcW w:w="1755" w:type="dxa"/>
          </w:tcPr>
          <w:p w:rsidR="001322B2" w:rsidRPr="001322B2" w:rsidRDefault="001322B2">
            <w:pPr>
              <w:jc w:val="center"/>
              <w:rPr>
                <w:rFonts w:eastAsiaTheme="minorHAnsi"/>
              </w:rPr>
            </w:pPr>
            <w:r w:rsidRPr="001322B2">
              <w:t>$1,000,000</w:t>
            </w:r>
          </w:p>
        </w:tc>
      </w:tr>
      <w:tr w:rsidR="001322B2" w:rsidRPr="00030D8D" w:rsidTr="00A019A8">
        <w:tc>
          <w:tcPr>
            <w:tcW w:w="1965" w:type="dxa"/>
          </w:tcPr>
          <w:p w:rsidR="001322B2" w:rsidRDefault="001322B2" w:rsidP="00030D8D">
            <w:pPr>
              <w:jc w:val="center"/>
            </w:pPr>
            <w:r>
              <w:t>2012</w:t>
            </w:r>
          </w:p>
        </w:tc>
        <w:tc>
          <w:tcPr>
            <w:tcW w:w="1441" w:type="dxa"/>
          </w:tcPr>
          <w:p w:rsidR="001322B2" w:rsidRPr="001322B2" w:rsidRDefault="001322B2">
            <w:pPr>
              <w:jc w:val="center"/>
              <w:rPr>
                <w:rFonts w:eastAsiaTheme="minorHAnsi"/>
              </w:rPr>
            </w:pPr>
            <w:r w:rsidRPr="001322B2">
              <w:t>15</w:t>
            </w:r>
          </w:p>
        </w:tc>
        <w:tc>
          <w:tcPr>
            <w:tcW w:w="1313" w:type="dxa"/>
          </w:tcPr>
          <w:p w:rsidR="001322B2" w:rsidRPr="001322B2" w:rsidRDefault="001322B2">
            <w:pPr>
              <w:jc w:val="center"/>
              <w:rPr>
                <w:rFonts w:eastAsiaTheme="minorHAnsi"/>
              </w:rPr>
            </w:pPr>
            <w:r w:rsidRPr="001322B2">
              <w:t>$221,493</w:t>
            </w:r>
          </w:p>
        </w:tc>
        <w:tc>
          <w:tcPr>
            <w:tcW w:w="1755" w:type="dxa"/>
          </w:tcPr>
          <w:p w:rsidR="001322B2" w:rsidRPr="001322B2" w:rsidRDefault="001322B2">
            <w:pPr>
              <w:jc w:val="center"/>
              <w:rPr>
                <w:rFonts w:eastAsiaTheme="minorHAnsi"/>
              </w:rPr>
            </w:pPr>
            <w:r w:rsidRPr="001322B2">
              <w:t>$1,294,978</w:t>
            </w:r>
          </w:p>
        </w:tc>
      </w:tr>
      <w:tr w:rsidR="00482780" w:rsidRPr="00030D8D" w:rsidTr="00A019A8">
        <w:tc>
          <w:tcPr>
            <w:tcW w:w="1965" w:type="dxa"/>
          </w:tcPr>
          <w:p w:rsidR="00482780" w:rsidRPr="00030D8D" w:rsidRDefault="00482780" w:rsidP="00030D8D">
            <w:pPr>
              <w:jc w:val="center"/>
            </w:pPr>
            <w:r>
              <w:t>2011</w:t>
            </w:r>
          </w:p>
        </w:tc>
        <w:tc>
          <w:tcPr>
            <w:tcW w:w="1441" w:type="dxa"/>
          </w:tcPr>
          <w:p w:rsidR="00482780" w:rsidRPr="00030D8D" w:rsidRDefault="00482780" w:rsidP="00030D8D">
            <w:pPr>
              <w:jc w:val="center"/>
            </w:pPr>
            <w:r>
              <w:t>16</w:t>
            </w:r>
          </w:p>
        </w:tc>
        <w:tc>
          <w:tcPr>
            <w:tcW w:w="1313" w:type="dxa"/>
          </w:tcPr>
          <w:p w:rsidR="00482780" w:rsidRPr="00030D8D" w:rsidRDefault="00482780" w:rsidP="00030D8D">
            <w:pPr>
              <w:jc w:val="center"/>
            </w:pPr>
            <w:r>
              <w:t>$ 186,193</w:t>
            </w:r>
          </w:p>
        </w:tc>
        <w:tc>
          <w:tcPr>
            <w:tcW w:w="1755" w:type="dxa"/>
          </w:tcPr>
          <w:p w:rsidR="00482780" w:rsidRPr="00030D8D" w:rsidRDefault="00482780" w:rsidP="00030D8D">
            <w:pPr>
              <w:jc w:val="center"/>
            </w:pPr>
            <w:r>
              <w:t>$ 463,258</w:t>
            </w:r>
          </w:p>
        </w:tc>
      </w:tr>
      <w:tr w:rsidR="00761CF2" w:rsidRPr="00030D8D" w:rsidTr="00A019A8">
        <w:tc>
          <w:tcPr>
            <w:tcW w:w="1965" w:type="dxa"/>
          </w:tcPr>
          <w:p w:rsidR="00761CF2" w:rsidRPr="00030D8D" w:rsidRDefault="00761CF2" w:rsidP="00030D8D">
            <w:pPr>
              <w:jc w:val="center"/>
            </w:pPr>
            <w:r w:rsidRPr="00030D8D">
              <w:t>2010</w:t>
            </w:r>
          </w:p>
        </w:tc>
        <w:tc>
          <w:tcPr>
            <w:tcW w:w="1441" w:type="dxa"/>
          </w:tcPr>
          <w:p w:rsidR="00761CF2" w:rsidRPr="00030D8D" w:rsidRDefault="00761CF2" w:rsidP="00030D8D">
            <w:pPr>
              <w:jc w:val="center"/>
            </w:pPr>
            <w:r w:rsidRPr="00030D8D">
              <w:t>19</w:t>
            </w:r>
          </w:p>
        </w:tc>
        <w:tc>
          <w:tcPr>
            <w:tcW w:w="1313" w:type="dxa"/>
          </w:tcPr>
          <w:p w:rsidR="00761CF2" w:rsidRPr="00030D8D" w:rsidRDefault="00761CF2" w:rsidP="00030D8D">
            <w:pPr>
              <w:jc w:val="center"/>
            </w:pPr>
            <w:r w:rsidRPr="00030D8D">
              <w:t>$ 204,353</w:t>
            </w:r>
          </w:p>
        </w:tc>
        <w:tc>
          <w:tcPr>
            <w:tcW w:w="1755" w:type="dxa"/>
          </w:tcPr>
          <w:p w:rsidR="00761CF2" w:rsidRPr="00030D8D" w:rsidRDefault="00761CF2" w:rsidP="00030D8D">
            <w:pPr>
              <w:jc w:val="center"/>
            </w:pPr>
            <w:r w:rsidRPr="00030D8D">
              <w:t>$ 1,919,373</w:t>
            </w:r>
          </w:p>
        </w:tc>
      </w:tr>
      <w:tr w:rsidR="00761CF2" w:rsidRPr="00030D8D" w:rsidTr="00A019A8">
        <w:tc>
          <w:tcPr>
            <w:tcW w:w="1965" w:type="dxa"/>
          </w:tcPr>
          <w:p w:rsidR="00761CF2" w:rsidRPr="00030D8D" w:rsidRDefault="00761CF2" w:rsidP="00030D8D">
            <w:pPr>
              <w:jc w:val="center"/>
            </w:pPr>
            <w:r w:rsidRPr="00030D8D">
              <w:t>2009</w:t>
            </w:r>
          </w:p>
        </w:tc>
        <w:tc>
          <w:tcPr>
            <w:tcW w:w="1441" w:type="dxa"/>
          </w:tcPr>
          <w:p w:rsidR="00761CF2" w:rsidRPr="00030D8D" w:rsidRDefault="00761CF2" w:rsidP="00030D8D">
            <w:pPr>
              <w:jc w:val="center"/>
            </w:pPr>
            <w:r w:rsidRPr="00030D8D">
              <w:t>17</w:t>
            </w:r>
          </w:p>
        </w:tc>
        <w:tc>
          <w:tcPr>
            <w:tcW w:w="1313" w:type="dxa"/>
          </w:tcPr>
          <w:p w:rsidR="00761CF2" w:rsidRPr="00030D8D" w:rsidRDefault="00761CF2" w:rsidP="00030D8D">
            <w:pPr>
              <w:jc w:val="center"/>
            </w:pPr>
            <w:r w:rsidRPr="00030D8D">
              <w:t>$ 202,340</w:t>
            </w:r>
          </w:p>
        </w:tc>
        <w:tc>
          <w:tcPr>
            <w:tcW w:w="1755" w:type="dxa"/>
          </w:tcPr>
          <w:p w:rsidR="00761CF2" w:rsidRPr="00030D8D" w:rsidRDefault="00761CF2" w:rsidP="00030D8D">
            <w:pPr>
              <w:jc w:val="center"/>
            </w:pPr>
            <w:r w:rsidRPr="00030D8D">
              <w:t>$    608,355</w:t>
            </w:r>
          </w:p>
        </w:tc>
      </w:tr>
      <w:tr w:rsidR="00761CF2" w:rsidRPr="00030D8D" w:rsidTr="00A019A8">
        <w:tc>
          <w:tcPr>
            <w:tcW w:w="1965" w:type="dxa"/>
          </w:tcPr>
          <w:p w:rsidR="00761CF2" w:rsidRPr="00030D8D" w:rsidRDefault="00761CF2" w:rsidP="00030D8D">
            <w:pPr>
              <w:jc w:val="center"/>
            </w:pPr>
            <w:r w:rsidRPr="00030D8D">
              <w:t>2008</w:t>
            </w:r>
          </w:p>
        </w:tc>
        <w:tc>
          <w:tcPr>
            <w:tcW w:w="1441" w:type="dxa"/>
          </w:tcPr>
          <w:p w:rsidR="00761CF2" w:rsidRPr="00030D8D" w:rsidRDefault="00761CF2" w:rsidP="00030D8D">
            <w:pPr>
              <w:jc w:val="center"/>
            </w:pPr>
            <w:r w:rsidRPr="00030D8D">
              <w:t>21</w:t>
            </w:r>
          </w:p>
        </w:tc>
        <w:tc>
          <w:tcPr>
            <w:tcW w:w="1313" w:type="dxa"/>
          </w:tcPr>
          <w:p w:rsidR="00761CF2" w:rsidRPr="00030D8D" w:rsidRDefault="00761CF2" w:rsidP="00030D8D">
            <w:pPr>
              <w:jc w:val="center"/>
            </w:pPr>
            <w:r w:rsidRPr="00030D8D">
              <w:t>$ 239,534</w:t>
            </w:r>
          </w:p>
        </w:tc>
        <w:tc>
          <w:tcPr>
            <w:tcW w:w="1755" w:type="dxa"/>
          </w:tcPr>
          <w:p w:rsidR="00761CF2" w:rsidRPr="00030D8D" w:rsidRDefault="00761CF2" w:rsidP="00030D8D">
            <w:pPr>
              <w:jc w:val="center"/>
            </w:pPr>
            <w:r w:rsidRPr="00030D8D">
              <w:t>$   559,186</w:t>
            </w:r>
          </w:p>
        </w:tc>
      </w:tr>
    </w:tbl>
    <w:p w:rsidR="00A019A8" w:rsidRDefault="00A019A8" w:rsidP="00A019A8">
      <w:pPr>
        <w:tabs>
          <w:tab w:val="left" w:pos="662"/>
          <w:tab w:val="left" w:pos="6192"/>
          <w:tab w:val="left" w:pos="8280"/>
        </w:tabs>
        <w:rPr>
          <w:color w:val="000000"/>
        </w:rPr>
      </w:pPr>
    </w:p>
    <w:p w:rsidR="001322B2" w:rsidRPr="001322B2" w:rsidRDefault="001322B2" w:rsidP="001322B2">
      <w:pPr>
        <w:rPr>
          <w:sz w:val="18"/>
          <w:szCs w:val="18"/>
        </w:rPr>
      </w:pPr>
      <w:r w:rsidRPr="001322B2">
        <w:rPr>
          <w:sz w:val="18"/>
          <w:szCs w:val="18"/>
        </w:rPr>
        <w:t>*</w:t>
      </w:r>
      <w:r>
        <w:rPr>
          <w:sz w:val="18"/>
          <w:szCs w:val="18"/>
        </w:rPr>
        <w:t xml:space="preserve"> </w:t>
      </w:r>
      <w:r w:rsidRPr="001322B2">
        <w:rPr>
          <w:sz w:val="18"/>
          <w:szCs w:val="18"/>
        </w:rPr>
        <w:t>In 2012 the maximum grant award available was increased from $15,000 to $20,000.</w:t>
      </w:r>
    </w:p>
    <w:p w:rsidR="001322B2" w:rsidRPr="001322B2" w:rsidRDefault="001322B2" w:rsidP="001322B2">
      <w:pPr>
        <w:rPr>
          <w:sz w:val="18"/>
          <w:szCs w:val="18"/>
        </w:rPr>
      </w:pPr>
      <w:r w:rsidRPr="001322B2">
        <w:rPr>
          <w:sz w:val="18"/>
          <w:szCs w:val="18"/>
        </w:rPr>
        <w:t>**The number of expected grants for 2013 is a projected estimate only.</w:t>
      </w:r>
    </w:p>
    <w:p w:rsidR="001E56F2" w:rsidRDefault="001E56F2" w:rsidP="00A019A8">
      <w:pPr>
        <w:tabs>
          <w:tab w:val="left" w:pos="662"/>
          <w:tab w:val="left" w:pos="6192"/>
          <w:tab w:val="left" w:pos="8280"/>
        </w:tabs>
        <w:rPr>
          <w:color w:val="000000"/>
        </w:rPr>
      </w:pPr>
    </w:p>
    <w:p w:rsidR="00FA11E3" w:rsidRPr="00A019A8" w:rsidRDefault="00FA11E3" w:rsidP="00A019A8">
      <w:pPr>
        <w:tabs>
          <w:tab w:val="left" w:pos="662"/>
          <w:tab w:val="left" w:pos="6192"/>
          <w:tab w:val="left" w:pos="8280"/>
        </w:tabs>
        <w:rPr>
          <w:color w:val="000000"/>
        </w:rPr>
      </w:pPr>
      <w:r w:rsidRPr="00A019A8">
        <w:rPr>
          <w:color w:val="000000"/>
        </w:rPr>
        <w:t>Number Of New Nominations Sent To The National Register:</w:t>
      </w:r>
    </w:p>
    <w:p w:rsidR="00FA11E3" w:rsidRPr="00030D8D" w:rsidRDefault="00FA11E3" w:rsidP="00FA11E3">
      <w:pPr>
        <w:rPr>
          <w:sz w:val="22"/>
          <w:szCs w:val="22"/>
        </w:rPr>
      </w:pPr>
    </w:p>
    <w:tbl>
      <w:tblPr>
        <w:tblStyle w:val="TableGrid"/>
        <w:tblW w:w="0" w:type="auto"/>
        <w:tblInd w:w="1749" w:type="dxa"/>
        <w:tblLook w:val="04A0"/>
      </w:tblPr>
      <w:tblGrid>
        <w:gridCol w:w="2088"/>
        <w:gridCol w:w="1311"/>
        <w:gridCol w:w="1389"/>
        <w:gridCol w:w="1311"/>
        <w:gridCol w:w="1350"/>
        <w:gridCol w:w="1350"/>
        <w:gridCol w:w="1350"/>
      </w:tblGrid>
      <w:tr w:rsidR="001E56F2" w:rsidTr="00347F5D">
        <w:tc>
          <w:tcPr>
            <w:tcW w:w="2088" w:type="dxa"/>
          </w:tcPr>
          <w:p w:rsidR="001E56F2" w:rsidRPr="000F3E9C" w:rsidRDefault="001E56F2" w:rsidP="0003116C">
            <w:pPr>
              <w:jc w:val="center"/>
              <w:rPr>
                <w:b/>
              </w:rPr>
            </w:pPr>
            <w:r w:rsidRPr="000F3E9C">
              <w:rPr>
                <w:b/>
              </w:rPr>
              <w:t>N</w:t>
            </w:r>
            <w:r>
              <w:rPr>
                <w:b/>
              </w:rPr>
              <w:t>ATIONAL</w:t>
            </w:r>
            <w:r w:rsidRPr="000F3E9C">
              <w:rPr>
                <w:b/>
              </w:rPr>
              <w:t xml:space="preserve"> R</w:t>
            </w:r>
            <w:r>
              <w:rPr>
                <w:b/>
              </w:rPr>
              <w:t>EGISTER  LISTING</w:t>
            </w:r>
          </w:p>
        </w:tc>
        <w:tc>
          <w:tcPr>
            <w:tcW w:w="1311" w:type="dxa"/>
          </w:tcPr>
          <w:p w:rsidR="001E56F2" w:rsidRDefault="001E56F2" w:rsidP="003D3EAB">
            <w:pPr>
              <w:jc w:val="center"/>
              <w:rPr>
                <w:b/>
              </w:rPr>
            </w:pPr>
            <w:r w:rsidRPr="000F3E9C">
              <w:rPr>
                <w:b/>
              </w:rPr>
              <w:t>Fed FY</w:t>
            </w:r>
          </w:p>
          <w:p w:rsidR="001E56F2" w:rsidRPr="000F3E9C" w:rsidRDefault="001E56F2" w:rsidP="003D3EAB">
            <w:pPr>
              <w:jc w:val="center"/>
              <w:rPr>
                <w:b/>
              </w:rPr>
            </w:pPr>
            <w:r w:rsidRPr="000F3E9C">
              <w:rPr>
                <w:b/>
              </w:rPr>
              <w:t xml:space="preserve"> 2008</w:t>
            </w:r>
          </w:p>
        </w:tc>
        <w:tc>
          <w:tcPr>
            <w:tcW w:w="1389" w:type="dxa"/>
          </w:tcPr>
          <w:p w:rsidR="001E56F2" w:rsidRPr="000F3E9C" w:rsidRDefault="001E56F2" w:rsidP="003D3EAB">
            <w:pPr>
              <w:jc w:val="center"/>
              <w:rPr>
                <w:b/>
              </w:rPr>
            </w:pPr>
            <w:r w:rsidRPr="000F3E9C">
              <w:rPr>
                <w:b/>
              </w:rPr>
              <w:t>Fed FY 2009</w:t>
            </w:r>
          </w:p>
        </w:tc>
        <w:tc>
          <w:tcPr>
            <w:tcW w:w="1311" w:type="dxa"/>
          </w:tcPr>
          <w:p w:rsidR="001E56F2" w:rsidRDefault="001E56F2" w:rsidP="00F67181">
            <w:pPr>
              <w:jc w:val="center"/>
              <w:rPr>
                <w:b/>
              </w:rPr>
            </w:pPr>
            <w:r w:rsidRPr="000F3E9C">
              <w:rPr>
                <w:b/>
              </w:rPr>
              <w:t>Fed FY</w:t>
            </w:r>
          </w:p>
          <w:p w:rsidR="001E56F2" w:rsidRPr="000F3E9C" w:rsidRDefault="001E56F2" w:rsidP="00F67181">
            <w:pPr>
              <w:jc w:val="center"/>
              <w:rPr>
                <w:b/>
              </w:rPr>
            </w:pPr>
            <w:r w:rsidRPr="000F3E9C">
              <w:rPr>
                <w:b/>
              </w:rPr>
              <w:t>2010</w:t>
            </w:r>
          </w:p>
        </w:tc>
        <w:tc>
          <w:tcPr>
            <w:tcW w:w="1350" w:type="dxa"/>
          </w:tcPr>
          <w:p w:rsidR="001E56F2" w:rsidRDefault="001E56F2" w:rsidP="00F67181">
            <w:pPr>
              <w:jc w:val="center"/>
              <w:rPr>
                <w:b/>
              </w:rPr>
            </w:pPr>
            <w:r>
              <w:rPr>
                <w:b/>
              </w:rPr>
              <w:t>Fed FY</w:t>
            </w:r>
          </w:p>
          <w:p w:rsidR="001E56F2" w:rsidRPr="000F3E9C" w:rsidRDefault="001E56F2" w:rsidP="00F67181">
            <w:pPr>
              <w:jc w:val="center"/>
              <w:rPr>
                <w:b/>
              </w:rPr>
            </w:pPr>
            <w:r>
              <w:rPr>
                <w:b/>
              </w:rPr>
              <w:t>2011</w:t>
            </w:r>
          </w:p>
        </w:tc>
        <w:tc>
          <w:tcPr>
            <w:tcW w:w="1350" w:type="dxa"/>
          </w:tcPr>
          <w:p w:rsidR="001E56F2" w:rsidRDefault="001E56F2" w:rsidP="001E56F2">
            <w:pPr>
              <w:jc w:val="center"/>
              <w:rPr>
                <w:b/>
              </w:rPr>
            </w:pPr>
            <w:r>
              <w:rPr>
                <w:b/>
              </w:rPr>
              <w:t>Fed FY</w:t>
            </w:r>
          </w:p>
          <w:p w:rsidR="001E56F2" w:rsidRDefault="001E56F2" w:rsidP="001E56F2">
            <w:pPr>
              <w:jc w:val="center"/>
              <w:rPr>
                <w:b/>
              </w:rPr>
            </w:pPr>
            <w:r>
              <w:rPr>
                <w:b/>
              </w:rPr>
              <w:t>2012*</w:t>
            </w:r>
          </w:p>
        </w:tc>
        <w:tc>
          <w:tcPr>
            <w:tcW w:w="1350" w:type="dxa"/>
          </w:tcPr>
          <w:p w:rsidR="001E56F2" w:rsidRDefault="001E56F2" w:rsidP="001E56F2">
            <w:pPr>
              <w:jc w:val="center"/>
              <w:rPr>
                <w:b/>
              </w:rPr>
            </w:pPr>
            <w:r>
              <w:rPr>
                <w:b/>
              </w:rPr>
              <w:t>Fed FY</w:t>
            </w:r>
          </w:p>
          <w:p w:rsidR="001E56F2" w:rsidRDefault="001E56F2" w:rsidP="001E56F2">
            <w:pPr>
              <w:jc w:val="center"/>
              <w:rPr>
                <w:b/>
              </w:rPr>
            </w:pPr>
            <w:r>
              <w:rPr>
                <w:b/>
              </w:rPr>
              <w:t>2013*</w:t>
            </w:r>
          </w:p>
        </w:tc>
      </w:tr>
      <w:tr w:rsidR="00A63ECE" w:rsidTr="00347F5D">
        <w:tc>
          <w:tcPr>
            <w:tcW w:w="2088" w:type="dxa"/>
          </w:tcPr>
          <w:p w:rsidR="00A63ECE" w:rsidRPr="006D5EAA" w:rsidRDefault="00A63ECE" w:rsidP="003D3EAB">
            <w:pPr>
              <w:jc w:val="center"/>
            </w:pPr>
            <w:r w:rsidRPr="006D5EAA">
              <w:rPr>
                <w:color w:val="000000"/>
              </w:rPr>
              <w:t>Districts</w:t>
            </w:r>
            <w:r>
              <w:rPr>
                <w:color w:val="000000"/>
              </w:rPr>
              <w:t xml:space="preserve"> *</w:t>
            </w:r>
          </w:p>
        </w:tc>
        <w:tc>
          <w:tcPr>
            <w:tcW w:w="1311" w:type="dxa"/>
          </w:tcPr>
          <w:p w:rsidR="00A63ECE" w:rsidRPr="006D5EAA" w:rsidRDefault="00A63ECE" w:rsidP="003D3EAB">
            <w:pPr>
              <w:jc w:val="center"/>
            </w:pPr>
            <w:r w:rsidRPr="006D5EAA">
              <w:t>7</w:t>
            </w:r>
          </w:p>
        </w:tc>
        <w:tc>
          <w:tcPr>
            <w:tcW w:w="1389" w:type="dxa"/>
          </w:tcPr>
          <w:p w:rsidR="00A63ECE" w:rsidRPr="006D5EAA" w:rsidRDefault="00A63ECE" w:rsidP="003D3EAB">
            <w:pPr>
              <w:jc w:val="center"/>
            </w:pPr>
            <w:r w:rsidRPr="006D5EAA">
              <w:rPr>
                <w:color w:val="000000"/>
              </w:rPr>
              <w:t>10</w:t>
            </w:r>
          </w:p>
        </w:tc>
        <w:tc>
          <w:tcPr>
            <w:tcW w:w="1311" w:type="dxa"/>
          </w:tcPr>
          <w:p w:rsidR="00A63ECE" w:rsidRDefault="00A63ECE" w:rsidP="003D3EAB">
            <w:pPr>
              <w:jc w:val="center"/>
            </w:pPr>
            <w:r>
              <w:t>8</w:t>
            </w:r>
          </w:p>
        </w:tc>
        <w:tc>
          <w:tcPr>
            <w:tcW w:w="1350" w:type="dxa"/>
          </w:tcPr>
          <w:p w:rsidR="00A63ECE" w:rsidRDefault="00A63ECE" w:rsidP="003D3EAB">
            <w:pPr>
              <w:jc w:val="center"/>
            </w:pPr>
            <w:r>
              <w:t>3</w:t>
            </w:r>
          </w:p>
        </w:tc>
        <w:tc>
          <w:tcPr>
            <w:tcW w:w="1350" w:type="dxa"/>
          </w:tcPr>
          <w:p w:rsidR="00A63ECE" w:rsidRPr="00A63ECE" w:rsidRDefault="00A63ECE">
            <w:pPr>
              <w:jc w:val="center"/>
              <w:rPr>
                <w:rFonts w:eastAsiaTheme="minorHAnsi"/>
              </w:rPr>
            </w:pPr>
            <w:r>
              <w:t>5</w:t>
            </w:r>
          </w:p>
        </w:tc>
        <w:tc>
          <w:tcPr>
            <w:tcW w:w="1350" w:type="dxa"/>
          </w:tcPr>
          <w:p w:rsidR="00A63ECE" w:rsidRPr="00A63ECE" w:rsidRDefault="00A63ECE">
            <w:pPr>
              <w:jc w:val="center"/>
              <w:rPr>
                <w:rFonts w:eastAsiaTheme="minorHAnsi"/>
              </w:rPr>
            </w:pPr>
            <w:r w:rsidRPr="00A63ECE">
              <w:t>5</w:t>
            </w:r>
          </w:p>
        </w:tc>
      </w:tr>
      <w:tr w:rsidR="00A63ECE" w:rsidTr="00347F5D">
        <w:tc>
          <w:tcPr>
            <w:tcW w:w="2088" w:type="dxa"/>
          </w:tcPr>
          <w:p w:rsidR="00A63ECE" w:rsidRPr="006D5EAA" w:rsidRDefault="00A63ECE" w:rsidP="003D3EAB">
            <w:pPr>
              <w:jc w:val="center"/>
            </w:pPr>
            <w:r w:rsidRPr="006D5EAA">
              <w:rPr>
                <w:color w:val="000000"/>
              </w:rPr>
              <w:t>Buildings</w:t>
            </w:r>
          </w:p>
        </w:tc>
        <w:tc>
          <w:tcPr>
            <w:tcW w:w="1311" w:type="dxa"/>
          </w:tcPr>
          <w:p w:rsidR="00A63ECE" w:rsidRPr="006D5EAA" w:rsidRDefault="00A63ECE" w:rsidP="003D3EAB">
            <w:pPr>
              <w:jc w:val="center"/>
            </w:pPr>
            <w:r w:rsidRPr="006D5EAA">
              <w:t>11</w:t>
            </w:r>
          </w:p>
        </w:tc>
        <w:tc>
          <w:tcPr>
            <w:tcW w:w="1389" w:type="dxa"/>
          </w:tcPr>
          <w:p w:rsidR="00A63ECE" w:rsidRPr="006D5EAA" w:rsidRDefault="00A63ECE" w:rsidP="003D3EAB">
            <w:pPr>
              <w:jc w:val="center"/>
            </w:pPr>
            <w:r w:rsidRPr="006D5EAA">
              <w:t>3</w:t>
            </w:r>
          </w:p>
        </w:tc>
        <w:tc>
          <w:tcPr>
            <w:tcW w:w="1311" w:type="dxa"/>
          </w:tcPr>
          <w:p w:rsidR="00A63ECE" w:rsidRDefault="00A63ECE" w:rsidP="003D3EAB">
            <w:pPr>
              <w:jc w:val="center"/>
            </w:pPr>
            <w:r>
              <w:t>3</w:t>
            </w:r>
          </w:p>
        </w:tc>
        <w:tc>
          <w:tcPr>
            <w:tcW w:w="1350" w:type="dxa"/>
          </w:tcPr>
          <w:p w:rsidR="00A63ECE" w:rsidRDefault="00A63ECE" w:rsidP="003D3EAB">
            <w:pPr>
              <w:jc w:val="center"/>
            </w:pPr>
            <w:r>
              <w:t>7</w:t>
            </w:r>
          </w:p>
        </w:tc>
        <w:tc>
          <w:tcPr>
            <w:tcW w:w="1350" w:type="dxa"/>
          </w:tcPr>
          <w:p w:rsidR="00A63ECE" w:rsidRPr="00A63ECE" w:rsidRDefault="00A63ECE">
            <w:pPr>
              <w:jc w:val="center"/>
              <w:rPr>
                <w:rFonts w:eastAsiaTheme="minorHAnsi"/>
              </w:rPr>
            </w:pPr>
            <w:r>
              <w:t>1</w:t>
            </w:r>
            <w:r w:rsidRPr="00A63ECE">
              <w:t>0</w:t>
            </w:r>
          </w:p>
        </w:tc>
        <w:tc>
          <w:tcPr>
            <w:tcW w:w="1350" w:type="dxa"/>
          </w:tcPr>
          <w:p w:rsidR="00A63ECE" w:rsidRPr="00A63ECE" w:rsidRDefault="00A63ECE">
            <w:pPr>
              <w:jc w:val="center"/>
              <w:rPr>
                <w:rFonts w:eastAsiaTheme="minorHAnsi"/>
              </w:rPr>
            </w:pPr>
            <w:r>
              <w:t>8</w:t>
            </w:r>
          </w:p>
        </w:tc>
      </w:tr>
      <w:tr w:rsidR="00A63ECE" w:rsidTr="00347F5D">
        <w:tc>
          <w:tcPr>
            <w:tcW w:w="2088" w:type="dxa"/>
          </w:tcPr>
          <w:p w:rsidR="00A63ECE" w:rsidRPr="006D5EAA" w:rsidRDefault="00A63ECE" w:rsidP="003D3EAB">
            <w:pPr>
              <w:jc w:val="center"/>
            </w:pPr>
            <w:r w:rsidRPr="006D5EAA">
              <w:rPr>
                <w:color w:val="000000"/>
              </w:rPr>
              <w:t>Sites.</w:t>
            </w:r>
          </w:p>
        </w:tc>
        <w:tc>
          <w:tcPr>
            <w:tcW w:w="1311" w:type="dxa"/>
          </w:tcPr>
          <w:p w:rsidR="00A63ECE" w:rsidRPr="006D5EAA" w:rsidRDefault="00A63ECE" w:rsidP="003D3EAB">
            <w:pPr>
              <w:jc w:val="center"/>
            </w:pPr>
            <w:r w:rsidRPr="006D5EAA">
              <w:t>0</w:t>
            </w:r>
          </w:p>
        </w:tc>
        <w:tc>
          <w:tcPr>
            <w:tcW w:w="1389" w:type="dxa"/>
          </w:tcPr>
          <w:p w:rsidR="00A63ECE" w:rsidRPr="006D5EAA" w:rsidRDefault="00A63ECE" w:rsidP="003D3EAB">
            <w:pPr>
              <w:jc w:val="center"/>
            </w:pPr>
            <w:r w:rsidRPr="006D5EAA">
              <w:t>11</w:t>
            </w:r>
          </w:p>
        </w:tc>
        <w:tc>
          <w:tcPr>
            <w:tcW w:w="1311" w:type="dxa"/>
          </w:tcPr>
          <w:p w:rsidR="00A63ECE" w:rsidRDefault="00A63ECE" w:rsidP="003D3EAB">
            <w:pPr>
              <w:jc w:val="center"/>
            </w:pPr>
            <w:r>
              <w:t>1</w:t>
            </w:r>
          </w:p>
        </w:tc>
        <w:tc>
          <w:tcPr>
            <w:tcW w:w="1350" w:type="dxa"/>
          </w:tcPr>
          <w:p w:rsidR="00A63ECE" w:rsidRDefault="00A63ECE" w:rsidP="003D3EAB">
            <w:pPr>
              <w:jc w:val="center"/>
            </w:pPr>
            <w:r>
              <w:t>0</w:t>
            </w:r>
          </w:p>
        </w:tc>
        <w:tc>
          <w:tcPr>
            <w:tcW w:w="1350" w:type="dxa"/>
          </w:tcPr>
          <w:p w:rsidR="00A63ECE" w:rsidRPr="00A63ECE" w:rsidRDefault="00A63ECE">
            <w:pPr>
              <w:jc w:val="center"/>
              <w:rPr>
                <w:rFonts w:eastAsiaTheme="minorHAnsi"/>
              </w:rPr>
            </w:pPr>
            <w:r w:rsidRPr="00A63ECE">
              <w:t>1</w:t>
            </w:r>
          </w:p>
        </w:tc>
        <w:tc>
          <w:tcPr>
            <w:tcW w:w="1350" w:type="dxa"/>
          </w:tcPr>
          <w:p w:rsidR="00A63ECE" w:rsidRPr="00A63ECE" w:rsidRDefault="00A63ECE">
            <w:pPr>
              <w:jc w:val="center"/>
              <w:rPr>
                <w:rFonts w:eastAsiaTheme="minorHAnsi"/>
              </w:rPr>
            </w:pPr>
            <w:r w:rsidRPr="00A63ECE">
              <w:t>1</w:t>
            </w:r>
          </w:p>
        </w:tc>
      </w:tr>
      <w:tr w:rsidR="00A63ECE" w:rsidTr="00347F5D">
        <w:tc>
          <w:tcPr>
            <w:tcW w:w="2088" w:type="dxa"/>
          </w:tcPr>
          <w:p w:rsidR="00A63ECE" w:rsidRPr="006D5EAA" w:rsidRDefault="00A63ECE" w:rsidP="003D3EAB">
            <w:pPr>
              <w:jc w:val="center"/>
            </w:pPr>
            <w:r w:rsidRPr="006D5EAA">
              <w:rPr>
                <w:color w:val="000000"/>
              </w:rPr>
              <w:t>Structures</w:t>
            </w:r>
          </w:p>
        </w:tc>
        <w:tc>
          <w:tcPr>
            <w:tcW w:w="1311" w:type="dxa"/>
          </w:tcPr>
          <w:p w:rsidR="00A63ECE" w:rsidRPr="006D5EAA" w:rsidRDefault="00A63ECE" w:rsidP="003D3EAB">
            <w:pPr>
              <w:jc w:val="center"/>
            </w:pPr>
            <w:r w:rsidRPr="006D5EAA">
              <w:t>4</w:t>
            </w:r>
          </w:p>
        </w:tc>
        <w:tc>
          <w:tcPr>
            <w:tcW w:w="1389" w:type="dxa"/>
          </w:tcPr>
          <w:p w:rsidR="00A63ECE" w:rsidRPr="006D5EAA" w:rsidRDefault="00A63ECE" w:rsidP="003D3EAB">
            <w:pPr>
              <w:jc w:val="center"/>
            </w:pPr>
            <w:r>
              <w:t>0</w:t>
            </w:r>
          </w:p>
        </w:tc>
        <w:tc>
          <w:tcPr>
            <w:tcW w:w="1311" w:type="dxa"/>
          </w:tcPr>
          <w:p w:rsidR="00A63ECE" w:rsidRDefault="00A63ECE" w:rsidP="003D3EAB">
            <w:pPr>
              <w:jc w:val="center"/>
            </w:pPr>
            <w:r>
              <w:t>0</w:t>
            </w:r>
          </w:p>
        </w:tc>
        <w:tc>
          <w:tcPr>
            <w:tcW w:w="1350" w:type="dxa"/>
          </w:tcPr>
          <w:p w:rsidR="00A63ECE" w:rsidRDefault="00A63ECE" w:rsidP="003D3EAB">
            <w:pPr>
              <w:jc w:val="center"/>
            </w:pPr>
            <w:r>
              <w:t>0</w:t>
            </w:r>
          </w:p>
        </w:tc>
        <w:tc>
          <w:tcPr>
            <w:tcW w:w="1350" w:type="dxa"/>
          </w:tcPr>
          <w:p w:rsidR="00A63ECE" w:rsidRPr="00A63ECE" w:rsidRDefault="00A63ECE">
            <w:pPr>
              <w:jc w:val="center"/>
              <w:rPr>
                <w:rFonts w:eastAsiaTheme="minorHAnsi"/>
              </w:rPr>
            </w:pPr>
          </w:p>
        </w:tc>
        <w:tc>
          <w:tcPr>
            <w:tcW w:w="1350" w:type="dxa"/>
          </w:tcPr>
          <w:p w:rsidR="00A63ECE" w:rsidRPr="00A63ECE" w:rsidRDefault="00A63ECE">
            <w:pPr>
              <w:jc w:val="center"/>
              <w:rPr>
                <w:rFonts w:eastAsiaTheme="minorHAnsi"/>
              </w:rPr>
            </w:pPr>
          </w:p>
        </w:tc>
      </w:tr>
      <w:tr w:rsidR="00A63ECE" w:rsidTr="00347F5D">
        <w:tc>
          <w:tcPr>
            <w:tcW w:w="2088" w:type="dxa"/>
          </w:tcPr>
          <w:p w:rsidR="00A63ECE" w:rsidRPr="006D5EAA" w:rsidRDefault="00A63ECE" w:rsidP="003D3EAB">
            <w:pPr>
              <w:jc w:val="center"/>
            </w:pPr>
            <w:r w:rsidRPr="006D5EAA">
              <w:rPr>
                <w:color w:val="000000"/>
              </w:rPr>
              <w:t>Objects</w:t>
            </w:r>
          </w:p>
        </w:tc>
        <w:tc>
          <w:tcPr>
            <w:tcW w:w="1311" w:type="dxa"/>
          </w:tcPr>
          <w:p w:rsidR="00A63ECE" w:rsidRPr="006D5EAA" w:rsidRDefault="00A63ECE" w:rsidP="003D3EAB">
            <w:pPr>
              <w:jc w:val="center"/>
            </w:pPr>
            <w:r w:rsidRPr="006D5EAA">
              <w:t>0</w:t>
            </w:r>
          </w:p>
        </w:tc>
        <w:tc>
          <w:tcPr>
            <w:tcW w:w="1389" w:type="dxa"/>
          </w:tcPr>
          <w:p w:rsidR="00A63ECE" w:rsidRPr="006D5EAA" w:rsidRDefault="00A63ECE" w:rsidP="003D3EAB">
            <w:pPr>
              <w:jc w:val="center"/>
            </w:pPr>
            <w:r>
              <w:t>0</w:t>
            </w:r>
          </w:p>
        </w:tc>
        <w:tc>
          <w:tcPr>
            <w:tcW w:w="1311" w:type="dxa"/>
          </w:tcPr>
          <w:p w:rsidR="00A63ECE" w:rsidRDefault="00A63ECE" w:rsidP="003D3EAB">
            <w:pPr>
              <w:jc w:val="center"/>
            </w:pPr>
            <w:r>
              <w:t>0</w:t>
            </w:r>
          </w:p>
        </w:tc>
        <w:tc>
          <w:tcPr>
            <w:tcW w:w="1350" w:type="dxa"/>
          </w:tcPr>
          <w:p w:rsidR="00A63ECE" w:rsidRDefault="00A63ECE" w:rsidP="003D3EAB">
            <w:pPr>
              <w:jc w:val="center"/>
            </w:pPr>
            <w:r>
              <w:t>0</w:t>
            </w:r>
          </w:p>
        </w:tc>
        <w:tc>
          <w:tcPr>
            <w:tcW w:w="1350" w:type="dxa"/>
          </w:tcPr>
          <w:p w:rsidR="00A63ECE" w:rsidRPr="00A63ECE" w:rsidRDefault="00A63ECE">
            <w:pPr>
              <w:jc w:val="center"/>
              <w:rPr>
                <w:rFonts w:eastAsiaTheme="minorHAnsi"/>
              </w:rPr>
            </w:pPr>
          </w:p>
        </w:tc>
        <w:tc>
          <w:tcPr>
            <w:tcW w:w="1350" w:type="dxa"/>
          </w:tcPr>
          <w:p w:rsidR="00A63ECE" w:rsidRPr="00A63ECE" w:rsidRDefault="00A63ECE">
            <w:pPr>
              <w:jc w:val="center"/>
              <w:rPr>
                <w:rFonts w:eastAsiaTheme="minorHAnsi"/>
              </w:rPr>
            </w:pPr>
          </w:p>
        </w:tc>
      </w:tr>
      <w:tr w:rsidR="00A63ECE" w:rsidTr="00347F5D">
        <w:tc>
          <w:tcPr>
            <w:tcW w:w="2088" w:type="dxa"/>
          </w:tcPr>
          <w:p w:rsidR="00A63ECE" w:rsidRPr="006D5EAA" w:rsidRDefault="00A63ECE" w:rsidP="003D3EAB">
            <w:pPr>
              <w:jc w:val="center"/>
            </w:pPr>
            <w:r w:rsidRPr="006D5EAA">
              <w:rPr>
                <w:color w:val="000000"/>
              </w:rPr>
              <w:t>MPDF</w:t>
            </w:r>
          </w:p>
        </w:tc>
        <w:tc>
          <w:tcPr>
            <w:tcW w:w="1311" w:type="dxa"/>
          </w:tcPr>
          <w:p w:rsidR="00A63ECE" w:rsidRPr="006D5EAA" w:rsidRDefault="00A63ECE" w:rsidP="003D3EAB">
            <w:pPr>
              <w:jc w:val="center"/>
            </w:pPr>
            <w:r w:rsidRPr="006D5EAA">
              <w:t>1</w:t>
            </w:r>
          </w:p>
        </w:tc>
        <w:tc>
          <w:tcPr>
            <w:tcW w:w="1389" w:type="dxa"/>
          </w:tcPr>
          <w:p w:rsidR="00A63ECE" w:rsidRPr="006D5EAA" w:rsidRDefault="00A63ECE" w:rsidP="003D3EAB">
            <w:pPr>
              <w:jc w:val="center"/>
            </w:pPr>
            <w:r w:rsidRPr="006D5EAA">
              <w:t>1</w:t>
            </w:r>
          </w:p>
        </w:tc>
        <w:tc>
          <w:tcPr>
            <w:tcW w:w="1311" w:type="dxa"/>
          </w:tcPr>
          <w:p w:rsidR="00A63ECE" w:rsidRDefault="00A63ECE" w:rsidP="003D3EAB">
            <w:pPr>
              <w:jc w:val="center"/>
            </w:pPr>
            <w:r>
              <w:t>0</w:t>
            </w:r>
          </w:p>
        </w:tc>
        <w:tc>
          <w:tcPr>
            <w:tcW w:w="1350" w:type="dxa"/>
          </w:tcPr>
          <w:p w:rsidR="00A63ECE" w:rsidRDefault="00A63ECE" w:rsidP="003D3EAB">
            <w:pPr>
              <w:jc w:val="center"/>
            </w:pPr>
            <w:r>
              <w:t>0</w:t>
            </w:r>
          </w:p>
        </w:tc>
        <w:tc>
          <w:tcPr>
            <w:tcW w:w="1350" w:type="dxa"/>
          </w:tcPr>
          <w:p w:rsidR="00A63ECE" w:rsidRPr="00A63ECE" w:rsidRDefault="00A63ECE">
            <w:pPr>
              <w:jc w:val="center"/>
              <w:rPr>
                <w:rFonts w:eastAsiaTheme="minorHAnsi"/>
              </w:rPr>
            </w:pPr>
            <w:r w:rsidRPr="00A63ECE">
              <w:t>1</w:t>
            </w:r>
          </w:p>
        </w:tc>
        <w:tc>
          <w:tcPr>
            <w:tcW w:w="1350" w:type="dxa"/>
          </w:tcPr>
          <w:p w:rsidR="00A63ECE" w:rsidRPr="00A63ECE" w:rsidRDefault="00A63ECE">
            <w:pPr>
              <w:jc w:val="center"/>
              <w:rPr>
                <w:rFonts w:eastAsiaTheme="minorHAnsi"/>
              </w:rPr>
            </w:pPr>
            <w:r w:rsidRPr="00A63ECE">
              <w:t>1</w:t>
            </w:r>
          </w:p>
        </w:tc>
      </w:tr>
    </w:tbl>
    <w:p w:rsidR="0003116C" w:rsidRPr="00E37B1F" w:rsidRDefault="00A019A8" w:rsidP="00A019A8">
      <w:pPr>
        <w:widowControl w:val="0"/>
        <w:ind w:left="1440"/>
        <w:rPr>
          <w:sz w:val="20"/>
          <w:szCs w:val="20"/>
        </w:rPr>
      </w:pPr>
      <w:r w:rsidRPr="00E37B1F">
        <w:rPr>
          <w:sz w:val="20"/>
          <w:szCs w:val="20"/>
        </w:rPr>
        <w:t>*</w:t>
      </w:r>
      <w:r w:rsidR="0003116C" w:rsidRPr="00E37B1F">
        <w:rPr>
          <w:sz w:val="20"/>
          <w:szCs w:val="20"/>
        </w:rPr>
        <w:t>Districts = a collection of National Register listed buildings in a downtown or village or cluster of historic properties</w:t>
      </w:r>
    </w:p>
    <w:p w:rsidR="00FA11E3" w:rsidRDefault="00FA11E3" w:rsidP="0003116C">
      <w:pPr>
        <w:rPr>
          <w:sz w:val="20"/>
          <w:szCs w:val="20"/>
        </w:rPr>
      </w:pPr>
    </w:p>
    <w:p w:rsidR="001E56F2" w:rsidRDefault="001E56F2" w:rsidP="0003116C">
      <w:r>
        <w:rPr>
          <w:sz w:val="18"/>
          <w:szCs w:val="18"/>
        </w:rPr>
        <w:t>*</w:t>
      </w:r>
      <w:r w:rsidRPr="003D499C">
        <w:rPr>
          <w:sz w:val="18"/>
          <w:szCs w:val="18"/>
        </w:rPr>
        <w:t>The numbers for</w:t>
      </w:r>
      <w:r>
        <w:rPr>
          <w:sz w:val="18"/>
          <w:szCs w:val="18"/>
        </w:rPr>
        <w:t xml:space="preserve"> Fed FY</w:t>
      </w:r>
      <w:r w:rsidRPr="003D499C">
        <w:rPr>
          <w:sz w:val="18"/>
          <w:szCs w:val="18"/>
        </w:rPr>
        <w:t xml:space="preserve"> 2012 and 2013 are projected estimates only</w:t>
      </w:r>
      <w:r>
        <w:t>.</w:t>
      </w:r>
    </w:p>
    <w:p w:rsidR="001E56F2" w:rsidRPr="00E37B1F" w:rsidRDefault="001E56F2" w:rsidP="0003116C">
      <w:pPr>
        <w:rPr>
          <w:sz w:val="20"/>
          <w:szCs w:val="20"/>
        </w:rPr>
      </w:pPr>
    </w:p>
    <w:p w:rsidR="00A63ECE" w:rsidRDefault="00A63ECE">
      <w:pPr>
        <w:spacing w:after="200" w:line="276" w:lineRule="auto"/>
      </w:pPr>
      <w:r>
        <w:br w:type="page"/>
      </w:r>
    </w:p>
    <w:p w:rsidR="00C83F4E" w:rsidRPr="0021621D" w:rsidRDefault="00C83F4E" w:rsidP="00C83F4E">
      <w:pPr>
        <w:rPr>
          <w:b/>
          <w:u w:val="single"/>
        </w:rPr>
      </w:pPr>
      <w:r w:rsidRPr="0021621D">
        <w:rPr>
          <w:b/>
          <w:u w:val="single"/>
        </w:rPr>
        <w:t>State Historic Sites</w:t>
      </w:r>
    </w:p>
    <w:p w:rsidR="00C83F4E" w:rsidRDefault="00C83F4E" w:rsidP="00C83F4E">
      <w:r>
        <w:t xml:space="preserve">Part of the DHP, the </w:t>
      </w:r>
      <w:r w:rsidRPr="00480410">
        <w:t>State-Owned</w:t>
      </w:r>
      <w:r>
        <w:t xml:space="preserve"> Historic Sites tell stories of Vermont’s past in the places where it happened.  DHP o</w:t>
      </w:r>
      <w:r w:rsidRPr="002922CB">
        <w:t xml:space="preserve">wns, maintains, interprets and operates </w:t>
      </w:r>
      <w:r>
        <w:t xml:space="preserve">26 </w:t>
      </w:r>
      <w:r w:rsidRPr="002922CB">
        <w:t xml:space="preserve">historic sites with </w:t>
      </w:r>
      <w:r>
        <w:t>102</w:t>
      </w:r>
      <w:r w:rsidRPr="002922CB">
        <w:t xml:space="preserve"> buildings</w:t>
      </w:r>
      <w:r>
        <w:t xml:space="preserve"> and</w:t>
      </w:r>
      <w:r w:rsidRPr="002922CB">
        <w:t xml:space="preserve"> </w:t>
      </w:r>
      <w:r>
        <w:t>several monuments</w:t>
      </w:r>
      <w:r w:rsidRPr="002922CB">
        <w:t xml:space="preserve"> to encourage the discovery and appreciation of the state</w:t>
      </w:r>
      <w:r>
        <w:t>'s rich heritage.  Ten sites are staffed and open to the public, including the President Calvin Coolidge site in Plymouth Notch, two nationally significant Revolutionary War sites, and the Bennington Battle Monument.  Revenues from ticket and gift shop sales provide approximately 40% of the sites’ budget.  The DHP also owns several bridges and the Forestdale iron blast furnace as well as being custodian of all underwater sites under Vermont waters. Six historic shipwrecks are open to recreational divers as VT’s Underwater Historic Preserves. G</w:t>
      </w:r>
      <w:r w:rsidRPr="002922CB">
        <w:t>rant funds and donations for site</w:t>
      </w:r>
      <w:r>
        <w:t>-</w:t>
      </w:r>
      <w:r w:rsidRPr="002922CB">
        <w:t xml:space="preserve">specific projects </w:t>
      </w:r>
      <w:r>
        <w:t xml:space="preserve">support </w:t>
      </w:r>
      <w:r w:rsidRPr="002922CB">
        <w:t>improvement</w:t>
      </w:r>
      <w:r>
        <w:t>s</w:t>
      </w:r>
      <w:r w:rsidRPr="002922CB">
        <w:t xml:space="preserve"> </w:t>
      </w:r>
      <w:r>
        <w:t xml:space="preserve">to the historic sites, encouraging more visitors and enhancing their experience and appreciation of the sites. </w:t>
      </w:r>
    </w:p>
    <w:p w:rsidR="00C83F4E" w:rsidRDefault="00C83F4E" w:rsidP="00C83F4E"/>
    <w:p w:rsidR="00C83F4E" w:rsidRDefault="00C83F4E" w:rsidP="00C83F4E">
      <w:r>
        <w:t xml:space="preserve">DHP annually measures various aspects of its program for the National Park Service (NPS), which provides 60% of DHP’s annual, non-State-Owned Historic Sites, funding. Examples of information submitted to the NPS include number of:  historic properties that meet or do not meet National Register criteria; federal reviews; Memoranda of Agreement and Programmatic Agreements signed; National Register nominations submitted to the National Register; historic properties newly added to the state inventory for archeology and architecture/history; hectares surveyed; and federal preservation tax incentives. </w:t>
      </w:r>
    </w:p>
    <w:p w:rsidR="00C83F4E" w:rsidRDefault="00C83F4E" w:rsidP="00C83F4E"/>
    <w:p w:rsidR="00C83F4E" w:rsidRPr="00480410" w:rsidRDefault="00C83F4E" w:rsidP="00C83F4E">
      <w:r>
        <w:t>The following, by which DHP measures</w:t>
      </w:r>
      <w:r w:rsidRPr="00480410">
        <w:t xml:space="preserve"> the success of its programs</w:t>
      </w:r>
      <w:r>
        <w:t>,</w:t>
      </w:r>
      <w:r w:rsidRPr="00480410">
        <w:t xml:space="preserve"> </w:t>
      </w:r>
      <w:r>
        <w:t>are most relevant at this time:</w:t>
      </w:r>
      <w:r w:rsidRPr="00480410">
        <w:t xml:space="preserve"> </w:t>
      </w:r>
    </w:p>
    <w:p w:rsidR="00C83F4E" w:rsidRPr="00480410" w:rsidRDefault="00C83F4E" w:rsidP="00C83F4E">
      <w:pPr>
        <w:pStyle w:val="ListParagraph"/>
        <w:ind w:left="360"/>
      </w:pPr>
    </w:p>
    <w:tbl>
      <w:tblPr>
        <w:tblStyle w:val="TableGrid"/>
        <w:tblW w:w="0" w:type="auto"/>
        <w:tblInd w:w="1665" w:type="dxa"/>
        <w:tblLook w:val="04A0"/>
      </w:tblPr>
      <w:tblGrid>
        <w:gridCol w:w="2394"/>
        <w:gridCol w:w="2394"/>
        <w:gridCol w:w="1935"/>
        <w:gridCol w:w="2160"/>
      </w:tblGrid>
      <w:tr w:rsidR="00C83F4E" w:rsidRPr="00480410" w:rsidTr="00C41BDD">
        <w:tc>
          <w:tcPr>
            <w:tcW w:w="2394" w:type="dxa"/>
          </w:tcPr>
          <w:p w:rsidR="00C83F4E" w:rsidRPr="00480410" w:rsidRDefault="00C83F4E" w:rsidP="00C41BDD">
            <w:pPr>
              <w:pStyle w:val="ListParagraph"/>
              <w:ind w:left="360"/>
              <w:rPr>
                <w:b/>
              </w:rPr>
            </w:pPr>
            <w:r w:rsidRPr="00480410">
              <w:rPr>
                <w:b/>
              </w:rPr>
              <w:t>State Fiscal Year</w:t>
            </w:r>
          </w:p>
        </w:tc>
        <w:tc>
          <w:tcPr>
            <w:tcW w:w="2394" w:type="dxa"/>
          </w:tcPr>
          <w:p w:rsidR="00C83F4E" w:rsidRPr="00480410" w:rsidRDefault="00C83F4E" w:rsidP="00C41BDD">
            <w:pPr>
              <w:rPr>
                <w:b/>
              </w:rPr>
            </w:pPr>
            <w:r w:rsidRPr="00480410">
              <w:rPr>
                <w:b/>
              </w:rPr>
              <w:t>Attendance</w:t>
            </w:r>
            <w:r>
              <w:rPr>
                <w:b/>
              </w:rPr>
              <w:t xml:space="preserve"> at State Historic Sites</w:t>
            </w:r>
          </w:p>
        </w:tc>
        <w:tc>
          <w:tcPr>
            <w:tcW w:w="1935" w:type="dxa"/>
          </w:tcPr>
          <w:p w:rsidR="00C83F4E" w:rsidRPr="00480410" w:rsidRDefault="00C83F4E" w:rsidP="00C41BDD">
            <w:pPr>
              <w:rPr>
                <w:b/>
              </w:rPr>
            </w:pPr>
            <w:r>
              <w:rPr>
                <w:b/>
              </w:rPr>
              <w:t>Receipts from Admissions</w:t>
            </w:r>
          </w:p>
        </w:tc>
        <w:tc>
          <w:tcPr>
            <w:tcW w:w="2160" w:type="dxa"/>
          </w:tcPr>
          <w:p w:rsidR="00C83F4E" w:rsidRPr="00480410" w:rsidRDefault="00C83F4E" w:rsidP="00C41BDD">
            <w:pPr>
              <w:rPr>
                <w:b/>
              </w:rPr>
            </w:pPr>
            <w:r w:rsidRPr="00480410">
              <w:rPr>
                <w:b/>
              </w:rPr>
              <w:t>Gift Shop Receipts</w:t>
            </w:r>
          </w:p>
        </w:tc>
      </w:tr>
      <w:tr w:rsidR="00C83F4E" w:rsidRPr="00480410" w:rsidTr="00C41BDD">
        <w:tc>
          <w:tcPr>
            <w:tcW w:w="2394" w:type="dxa"/>
          </w:tcPr>
          <w:p w:rsidR="00C83F4E" w:rsidRDefault="00C83F4E" w:rsidP="00C41BDD">
            <w:r>
              <w:t>2012**</w:t>
            </w:r>
          </w:p>
        </w:tc>
        <w:tc>
          <w:tcPr>
            <w:tcW w:w="2394" w:type="dxa"/>
          </w:tcPr>
          <w:p w:rsidR="00C83F4E" w:rsidRDefault="00C83F4E" w:rsidP="00C41BDD">
            <w:r>
              <w:t>63,000</w:t>
            </w:r>
          </w:p>
        </w:tc>
        <w:tc>
          <w:tcPr>
            <w:tcW w:w="1935" w:type="dxa"/>
          </w:tcPr>
          <w:p w:rsidR="00C83F4E" w:rsidRDefault="00C83F4E" w:rsidP="00C41BDD">
            <w:r>
              <w:t>$ 183,160 *</w:t>
            </w:r>
          </w:p>
        </w:tc>
        <w:tc>
          <w:tcPr>
            <w:tcW w:w="2160" w:type="dxa"/>
          </w:tcPr>
          <w:p w:rsidR="00C83F4E" w:rsidRDefault="00C83F4E" w:rsidP="00C41BDD">
            <w:r>
              <w:t>$ 209,288 *</w:t>
            </w:r>
          </w:p>
        </w:tc>
      </w:tr>
      <w:tr w:rsidR="00C83F4E" w:rsidRPr="00480410" w:rsidTr="00C41BDD">
        <w:tc>
          <w:tcPr>
            <w:tcW w:w="2394" w:type="dxa"/>
          </w:tcPr>
          <w:p w:rsidR="00C83F4E" w:rsidRPr="00480410" w:rsidRDefault="00C83F4E" w:rsidP="00C41BDD">
            <w:r>
              <w:t>2011</w:t>
            </w:r>
          </w:p>
        </w:tc>
        <w:tc>
          <w:tcPr>
            <w:tcW w:w="2394" w:type="dxa"/>
          </w:tcPr>
          <w:p w:rsidR="00C83F4E" w:rsidRPr="00480410" w:rsidRDefault="00C83F4E" w:rsidP="00C41BDD">
            <w:r>
              <w:t>62,445 *</w:t>
            </w:r>
          </w:p>
        </w:tc>
        <w:tc>
          <w:tcPr>
            <w:tcW w:w="1935" w:type="dxa"/>
          </w:tcPr>
          <w:p w:rsidR="00C83F4E" w:rsidRPr="00DA6E5A" w:rsidRDefault="00C83F4E" w:rsidP="00C41BDD">
            <w:r>
              <w:t>$ 183,096 *</w:t>
            </w:r>
          </w:p>
        </w:tc>
        <w:tc>
          <w:tcPr>
            <w:tcW w:w="2160" w:type="dxa"/>
          </w:tcPr>
          <w:p w:rsidR="00C83F4E" w:rsidRPr="00480410" w:rsidRDefault="00C83F4E" w:rsidP="00C41BDD">
            <w:r>
              <w:t>$ 206,722 *</w:t>
            </w:r>
          </w:p>
        </w:tc>
      </w:tr>
      <w:tr w:rsidR="00C83F4E" w:rsidRPr="00480410" w:rsidTr="00C41BDD">
        <w:tc>
          <w:tcPr>
            <w:tcW w:w="2394" w:type="dxa"/>
          </w:tcPr>
          <w:p w:rsidR="00C83F4E" w:rsidRPr="00480410" w:rsidRDefault="00C83F4E" w:rsidP="00C41BDD">
            <w:r w:rsidRPr="00480410">
              <w:t>2010</w:t>
            </w:r>
          </w:p>
        </w:tc>
        <w:tc>
          <w:tcPr>
            <w:tcW w:w="2394" w:type="dxa"/>
          </w:tcPr>
          <w:p w:rsidR="00C83F4E" w:rsidRPr="00480410" w:rsidRDefault="00C83F4E" w:rsidP="00C41BDD">
            <w:r w:rsidRPr="00480410">
              <w:t>68,746 *</w:t>
            </w:r>
          </w:p>
        </w:tc>
        <w:tc>
          <w:tcPr>
            <w:tcW w:w="1935" w:type="dxa"/>
          </w:tcPr>
          <w:p w:rsidR="00C83F4E" w:rsidRPr="00DA6E5A" w:rsidRDefault="00C83F4E" w:rsidP="00C41BDD">
            <w:pPr>
              <w:rPr>
                <w:rFonts w:ascii="Calibri" w:eastAsiaTheme="minorHAnsi" w:hAnsi="Calibri" w:cs="Calibri"/>
              </w:rPr>
            </w:pPr>
            <w:r w:rsidRPr="00DA6E5A">
              <w:t>$ 171,310</w:t>
            </w:r>
            <w:r>
              <w:t xml:space="preserve"> *</w:t>
            </w:r>
          </w:p>
        </w:tc>
        <w:tc>
          <w:tcPr>
            <w:tcW w:w="2160" w:type="dxa"/>
          </w:tcPr>
          <w:p w:rsidR="00C83F4E" w:rsidRPr="00480410" w:rsidRDefault="00C83F4E" w:rsidP="00C41BDD">
            <w:r>
              <w:t xml:space="preserve">$ </w:t>
            </w:r>
            <w:r w:rsidRPr="00480410">
              <w:t>208,299 *</w:t>
            </w:r>
          </w:p>
        </w:tc>
      </w:tr>
      <w:tr w:rsidR="00C83F4E" w:rsidRPr="00480410" w:rsidTr="00C41BDD">
        <w:tc>
          <w:tcPr>
            <w:tcW w:w="2394" w:type="dxa"/>
          </w:tcPr>
          <w:p w:rsidR="00C83F4E" w:rsidRPr="00480410" w:rsidRDefault="00C83F4E" w:rsidP="00C41BDD">
            <w:r w:rsidRPr="00480410">
              <w:t>2009</w:t>
            </w:r>
          </w:p>
        </w:tc>
        <w:tc>
          <w:tcPr>
            <w:tcW w:w="2394" w:type="dxa"/>
          </w:tcPr>
          <w:p w:rsidR="00C83F4E" w:rsidRPr="00480410" w:rsidRDefault="00C83F4E" w:rsidP="00C41BDD">
            <w:r w:rsidRPr="00480410">
              <w:t>66,328</w:t>
            </w:r>
          </w:p>
        </w:tc>
        <w:tc>
          <w:tcPr>
            <w:tcW w:w="1935" w:type="dxa"/>
          </w:tcPr>
          <w:p w:rsidR="00C83F4E" w:rsidRPr="00DA6E5A" w:rsidRDefault="00C83F4E" w:rsidP="00C41BDD">
            <w:pPr>
              <w:rPr>
                <w:rFonts w:ascii="Calibri" w:eastAsiaTheme="minorHAnsi" w:hAnsi="Calibri" w:cs="Calibri"/>
              </w:rPr>
            </w:pPr>
            <w:r w:rsidRPr="00DA6E5A">
              <w:t>$ 172,233</w:t>
            </w:r>
          </w:p>
        </w:tc>
        <w:tc>
          <w:tcPr>
            <w:tcW w:w="2160" w:type="dxa"/>
          </w:tcPr>
          <w:p w:rsidR="00C83F4E" w:rsidRPr="00480410" w:rsidRDefault="00C83F4E" w:rsidP="00C41BDD">
            <w:r>
              <w:t xml:space="preserve">$ </w:t>
            </w:r>
            <w:r w:rsidRPr="00480410">
              <w:t>229,982</w:t>
            </w:r>
          </w:p>
        </w:tc>
      </w:tr>
      <w:tr w:rsidR="00C83F4E" w:rsidRPr="00480410" w:rsidTr="00C41BDD">
        <w:tc>
          <w:tcPr>
            <w:tcW w:w="2394" w:type="dxa"/>
          </w:tcPr>
          <w:p w:rsidR="00C83F4E" w:rsidRPr="00480410" w:rsidRDefault="00C83F4E" w:rsidP="00C41BDD">
            <w:r w:rsidRPr="00480410">
              <w:t>2008</w:t>
            </w:r>
          </w:p>
        </w:tc>
        <w:tc>
          <w:tcPr>
            <w:tcW w:w="2394" w:type="dxa"/>
          </w:tcPr>
          <w:p w:rsidR="00C83F4E" w:rsidRPr="00480410" w:rsidRDefault="00C83F4E" w:rsidP="00C41BDD">
            <w:r w:rsidRPr="00480410">
              <w:t>68,433</w:t>
            </w:r>
          </w:p>
        </w:tc>
        <w:tc>
          <w:tcPr>
            <w:tcW w:w="1935" w:type="dxa"/>
          </w:tcPr>
          <w:p w:rsidR="00C83F4E" w:rsidRPr="00DA6E5A" w:rsidRDefault="00C83F4E" w:rsidP="00C41BDD">
            <w:pPr>
              <w:rPr>
                <w:rFonts w:ascii="Calibri" w:eastAsiaTheme="minorHAnsi" w:hAnsi="Calibri" w:cs="Calibri"/>
              </w:rPr>
            </w:pPr>
            <w:r w:rsidRPr="00DA6E5A">
              <w:t>$ 158,461</w:t>
            </w:r>
          </w:p>
        </w:tc>
        <w:tc>
          <w:tcPr>
            <w:tcW w:w="2160" w:type="dxa"/>
          </w:tcPr>
          <w:p w:rsidR="00C83F4E" w:rsidRPr="00480410" w:rsidRDefault="00C83F4E" w:rsidP="00C41BDD">
            <w:r>
              <w:t xml:space="preserve">$ </w:t>
            </w:r>
            <w:r w:rsidRPr="00480410">
              <w:t>229,037</w:t>
            </w:r>
          </w:p>
        </w:tc>
      </w:tr>
      <w:tr w:rsidR="00C83F4E" w:rsidRPr="00480410" w:rsidTr="00C41BDD">
        <w:tc>
          <w:tcPr>
            <w:tcW w:w="2394" w:type="dxa"/>
          </w:tcPr>
          <w:p w:rsidR="00C83F4E" w:rsidRPr="00480410" w:rsidRDefault="00C83F4E" w:rsidP="00C41BDD">
            <w:r w:rsidRPr="00480410">
              <w:t>2007</w:t>
            </w:r>
          </w:p>
        </w:tc>
        <w:tc>
          <w:tcPr>
            <w:tcW w:w="2394" w:type="dxa"/>
          </w:tcPr>
          <w:p w:rsidR="00C83F4E" w:rsidRPr="00480410" w:rsidRDefault="00C83F4E" w:rsidP="00C41BDD">
            <w:r w:rsidRPr="00480410">
              <w:t>68,891</w:t>
            </w:r>
          </w:p>
        </w:tc>
        <w:tc>
          <w:tcPr>
            <w:tcW w:w="1935" w:type="dxa"/>
          </w:tcPr>
          <w:p w:rsidR="00C83F4E" w:rsidRPr="00DA6E5A" w:rsidRDefault="00C83F4E" w:rsidP="00C41BDD">
            <w:pPr>
              <w:rPr>
                <w:rFonts w:ascii="Calibri" w:eastAsiaTheme="minorHAnsi" w:hAnsi="Calibri" w:cs="Calibri"/>
              </w:rPr>
            </w:pPr>
            <w:r w:rsidRPr="00DA6E5A">
              <w:t>$ 140,758</w:t>
            </w:r>
          </w:p>
        </w:tc>
        <w:tc>
          <w:tcPr>
            <w:tcW w:w="2160" w:type="dxa"/>
          </w:tcPr>
          <w:p w:rsidR="00C83F4E" w:rsidRPr="00480410" w:rsidRDefault="00C83F4E" w:rsidP="00C41BDD">
            <w:r>
              <w:t xml:space="preserve">$ </w:t>
            </w:r>
            <w:r w:rsidRPr="00480410">
              <w:t>211,312</w:t>
            </w:r>
          </w:p>
        </w:tc>
      </w:tr>
    </w:tbl>
    <w:p w:rsidR="00C83F4E" w:rsidRDefault="00C83F4E" w:rsidP="00C83F4E"/>
    <w:p w:rsidR="00C83F4E" w:rsidRDefault="00C83F4E" w:rsidP="00C83F4E">
      <w:pPr>
        <w:rPr>
          <w:sz w:val="16"/>
          <w:szCs w:val="16"/>
        </w:rPr>
      </w:pPr>
      <w:r w:rsidRPr="007E7BB3">
        <w:rPr>
          <w:sz w:val="16"/>
          <w:szCs w:val="16"/>
        </w:rPr>
        <w:t xml:space="preserve">* These figures exclude the Chimney Point State Historic Site since it was closed in 2010 </w:t>
      </w:r>
      <w:r>
        <w:rPr>
          <w:sz w:val="16"/>
          <w:szCs w:val="16"/>
        </w:rPr>
        <w:t xml:space="preserve">and 2011 </w:t>
      </w:r>
      <w:r w:rsidRPr="007E7BB3">
        <w:rPr>
          <w:sz w:val="16"/>
          <w:szCs w:val="16"/>
        </w:rPr>
        <w:t xml:space="preserve">as a result of construction of the new </w:t>
      </w:r>
      <w:r>
        <w:rPr>
          <w:sz w:val="16"/>
          <w:szCs w:val="16"/>
        </w:rPr>
        <w:t xml:space="preserve">Lake </w:t>
      </w:r>
      <w:r w:rsidRPr="007E7BB3">
        <w:rPr>
          <w:sz w:val="16"/>
          <w:szCs w:val="16"/>
        </w:rPr>
        <w:t>Champlain Bridge.</w:t>
      </w:r>
    </w:p>
    <w:p w:rsidR="00C83F4E" w:rsidRPr="007E7BB3" w:rsidRDefault="00C83F4E" w:rsidP="00C83F4E">
      <w:pPr>
        <w:rPr>
          <w:sz w:val="16"/>
          <w:szCs w:val="16"/>
        </w:rPr>
      </w:pPr>
      <w:r>
        <w:rPr>
          <w:sz w:val="16"/>
          <w:szCs w:val="16"/>
        </w:rPr>
        <w:t>** 2012 numbers reflect the 2011 summer and fall season only.</w:t>
      </w:r>
    </w:p>
    <w:p w:rsidR="00A63ECE" w:rsidRDefault="00A63ECE" w:rsidP="0003265A">
      <w:pPr>
        <w:spacing w:line="276" w:lineRule="auto"/>
      </w:pPr>
    </w:p>
    <w:p w:rsidR="00C83F4E" w:rsidRDefault="00C83F4E" w:rsidP="0003265A">
      <w:pPr>
        <w:spacing w:line="276" w:lineRule="auto"/>
      </w:pPr>
    </w:p>
    <w:p w:rsidR="00C83F4E" w:rsidRDefault="00C83F4E" w:rsidP="0003265A">
      <w:pPr>
        <w:spacing w:line="276" w:lineRule="auto"/>
      </w:pPr>
    </w:p>
    <w:p w:rsidR="00C83F4E" w:rsidRDefault="00C83F4E" w:rsidP="0003265A">
      <w:pPr>
        <w:spacing w:line="276" w:lineRule="auto"/>
      </w:pPr>
    </w:p>
    <w:p w:rsidR="00C83F4E" w:rsidRDefault="00C83F4E" w:rsidP="0003265A">
      <w:pPr>
        <w:spacing w:line="276" w:lineRule="auto"/>
      </w:pPr>
    </w:p>
    <w:p w:rsidR="00493A6F" w:rsidRDefault="00C83F4E" w:rsidP="0003265A">
      <w:pPr>
        <w:spacing w:line="276" w:lineRule="auto"/>
      </w:pPr>
      <w:r>
        <w:t>In summary, t</w:t>
      </w:r>
      <w:r w:rsidR="00A019A8">
        <w:t>he Division for Historic Preservation ha</w:t>
      </w:r>
      <w:r w:rsidR="00691DDC">
        <w:t>s</w:t>
      </w:r>
      <w:r w:rsidR="00A019A8">
        <w:t xml:space="preserve"> noted key trends over the past several years, including the following:</w:t>
      </w:r>
    </w:p>
    <w:p w:rsidR="00482780" w:rsidRDefault="00482780" w:rsidP="0003265A">
      <w:pPr>
        <w:spacing w:line="276" w:lineRule="auto"/>
      </w:pPr>
    </w:p>
    <w:p w:rsidR="00655EEE" w:rsidRDefault="00655EEE" w:rsidP="00655EEE">
      <w:pPr>
        <w:pStyle w:val="ListParagraph"/>
        <w:numPr>
          <w:ilvl w:val="0"/>
          <w:numId w:val="21"/>
        </w:numPr>
      </w:pPr>
      <w:r w:rsidRPr="001B66DA">
        <w:t>With ARRA stimulus funding</w:t>
      </w:r>
      <w:r w:rsidR="00F372EA">
        <w:t xml:space="preserve"> ending</w:t>
      </w:r>
      <w:r w:rsidRPr="001B66DA">
        <w:t xml:space="preserve">, </w:t>
      </w:r>
      <w:r w:rsidR="00F372EA">
        <w:t>DHP’s</w:t>
      </w:r>
      <w:r w:rsidRPr="001B66DA">
        <w:t xml:space="preserve"> </w:t>
      </w:r>
      <w:r w:rsidR="00F372EA">
        <w:t xml:space="preserve">environmental </w:t>
      </w:r>
      <w:r w:rsidRPr="001B66DA">
        <w:t xml:space="preserve">team </w:t>
      </w:r>
      <w:r w:rsidR="00F372EA">
        <w:t xml:space="preserve">(ER) </w:t>
      </w:r>
      <w:r w:rsidRPr="001B66DA">
        <w:t xml:space="preserve">reviewed and commented on nearly 300 </w:t>
      </w:r>
      <w:r w:rsidR="00F372EA">
        <w:t xml:space="preserve">federal </w:t>
      </w:r>
      <w:r w:rsidRPr="001B66DA">
        <w:t>solar energy projects in just the past six months. Federal funding is being replaced with state funding to continue the incentives</w:t>
      </w:r>
      <w:r w:rsidR="00F372EA">
        <w:t xml:space="preserve">. </w:t>
      </w:r>
      <w:r w:rsidR="004F0986">
        <w:t xml:space="preserve">The </w:t>
      </w:r>
      <w:r w:rsidR="00F372EA">
        <w:t xml:space="preserve">ER </w:t>
      </w:r>
      <w:r w:rsidRPr="001B66DA">
        <w:t xml:space="preserve">team expects to continue seeing an increase in the number of renewable energy projects submitted for </w:t>
      </w:r>
      <w:r w:rsidR="004F0986">
        <w:t xml:space="preserve">DHP </w:t>
      </w:r>
      <w:r w:rsidRPr="001B66DA">
        <w:t>review.</w:t>
      </w:r>
    </w:p>
    <w:p w:rsidR="00655EEE" w:rsidRPr="001B66DA" w:rsidRDefault="004F0986" w:rsidP="00655EEE">
      <w:pPr>
        <w:pStyle w:val="ListParagraph"/>
        <w:numPr>
          <w:ilvl w:val="0"/>
          <w:numId w:val="21"/>
        </w:numPr>
      </w:pPr>
      <w:r>
        <w:t>A r</w:t>
      </w:r>
      <w:r w:rsidR="00655EEE">
        <w:t xml:space="preserve">educed number of state reviews </w:t>
      </w:r>
      <w:r>
        <w:t>mirrors</w:t>
      </w:r>
      <w:r w:rsidR="00F372EA">
        <w:t xml:space="preserve"> r</w:t>
      </w:r>
      <w:r w:rsidR="00655EEE">
        <w:t>educed activity in Act 250 permittin</w:t>
      </w:r>
      <w:r w:rsidR="00F372EA">
        <w:t>g.</w:t>
      </w:r>
    </w:p>
    <w:p w:rsidR="00864E11" w:rsidRDefault="00864E11" w:rsidP="00864E11">
      <w:pPr>
        <w:pStyle w:val="ListParagraph"/>
        <w:numPr>
          <w:ilvl w:val="0"/>
          <w:numId w:val="21"/>
        </w:numPr>
      </w:pPr>
      <w:r w:rsidRPr="0055056E">
        <w:t>Attendance and receipts at the state historic sites were down in FY2011 due to spring flooding and travel problems; the aftermath of Irene</w:t>
      </w:r>
      <w:r>
        <w:t>,</w:t>
      </w:r>
      <w:r w:rsidRPr="0055056E">
        <w:t xml:space="preserve"> which closed the Coolidge State Historic Site for a month during prime foliage season</w:t>
      </w:r>
      <w:r w:rsidR="00EA5D3A">
        <w:t xml:space="preserve">; </w:t>
      </w:r>
      <w:r w:rsidRPr="0055056E">
        <w:t xml:space="preserve">created travel barriers to all the sites; and continued closure of the Chimney Point State Historic Site. School group visits are declining, as transportation costs are an issue.  </w:t>
      </w:r>
    </w:p>
    <w:p w:rsidR="00864E11" w:rsidRDefault="00864E11" w:rsidP="00864E11">
      <w:pPr>
        <w:pStyle w:val="ListParagraph"/>
        <w:numPr>
          <w:ilvl w:val="0"/>
          <w:numId w:val="21"/>
        </w:numPr>
      </w:pPr>
      <w:r w:rsidRPr="0055056E">
        <w:t xml:space="preserve">Visitors </w:t>
      </w:r>
      <w:r>
        <w:t xml:space="preserve">to the state historic sites </w:t>
      </w:r>
      <w:r w:rsidRPr="0055056E">
        <w:t>appreciate the high quality</w:t>
      </w:r>
      <w:r w:rsidR="004F0986">
        <w:t xml:space="preserve"> </w:t>
      </w:r>
      <w:r w:rsidRPr="0055056E">
        <w:t>special events and excellent museum shops</w:t>
      </w:r>
      <w:r w:rsidR="00655EEE">
        <w:t>,</w:t>
      </w:r>
      <w:r w:rsidRPr="0055056E">
        <w:t xml:space="preserve"> but </w:t>
      </w:r>
      <w:r w:rsidR="00655EEE">
        <w:t xml:space="preserve">seemed </w:t>
      </w:r>
      <w:r w:rsidRPr="0055056E">
        <w:t>more c</w:t>
      </w:r>
      <w:r w:rsidR="00655EEE">
        <w:t>areful about spending in FY2011.</w:t>
      </w:r>
      <w:r w:rsidRPr="0055056E">
        <w:t>  </w:t>
      </w:r>
    </w:p>
    <w:p w:rsidR="0056193B" w:rsidRPr="0055056E" w:rsidRDefault="00864E11" w:rsidP="0056193B">
      <w:pPr>
        <w:pStyle w:val="ListParagraph"/>
        <w:numPr>
          <w:ilvl w:val="0"/>
          <w:numId w:val="21"/>
        </w:numPr>
      </w:pPr>
      <w:r w:rsidRPr="0055056E">
        <w:t xml:space="preserve">Gift shop sales at the state historic sites held </w:t>
      </w:r>
      <w:r w:rsidR="004F0986">
        <w:t xml:space="preserve">nearly </w:t>
      </w:r>
      <w:r w:rsidRPr="0055056E">
        <w:t>level</w:t>
      </w:r>
      <w:r w:rsidR="004F0986">
        <w:t xml:space="preserve"> in spite of reduced attendance</w:t>
      </w:r>
      <w:r w:rsidRPr="0055056E">
        <w:t xml:space="preserve">; </w:t>
      </w:r>
      <w:r w:rsidR="0056193B" w:rsidRPr="0055056E">
        <w:t xml:space="preserve">visitors appreciate </w:t>
      </w:r>
      <w:r w:rsidR="0056193B">
        <w:t>the</w:t>
      </w:r>
      <w:r w:rsidR="0056193B" w:rsidRPr="0055056E">
        <w:t xml:space="preserve"> good quality and reasonable prices.  </w:t>
      </w:r>
    </w:p>
    <w:p w:rsidR="00864E11" w:rsidRDefault="00864E11" w:rsidP="00864E11">
      <w:pPr>
        <w:pStyle w:val="ListParagraph"/>
        <w:numPr>
          <w:ilvl w:val="0"/>
          <w:numId w:val="21"/>
        </w:numPr>
      </w:pPr>
      <w:r w:rsidRPr="00655EEE">
        <w:rPr>
          <w:bCs/>
        </w:rPr>
        <w:t xml:space="preserve">In FY2011, the Division had 10 requests for information - - a greater interest than ever before - - on becoming certified as a </w:t>
      </w:r>
      <w:r w:rsidRPr="0055056E">
        <w:t xml:space="preserve">Certified Local Government (CLG).  The CLG program is a preservation partnership </w:t>
      </w:r>
      <w:r w:rsidR="004F0986">
        <w:t>between a</w:t>
      </w:r>
      <w:r w:rsidRPr="0055056E">
        <w:t xml:space="preserve"> community, the state</w:t>
      </w:r>
      <w:r w:rsidR="004F0986">
        <w:t>,</w:t>
      </w:r>
      <w:r w:rsidRPr="0055056E">
        <w:t xml:space="preserve"> and the National Park Service that promotes historic preservation at the grass roots level. </w:t>
      </w:r>
    </w:p>
    <w:p w:rsidR="00864E11" w:rsidRDefault="00864E11" w:rsidP="00864E11">
      <w:pPr>
        <w:pStyle w:val="ListParagraph"/>
        <w:numPr>
          <w:ilvl w:val="0"/>
          <w:numId w:val="21"/>
        </w:numPr>
      </w:pPr>
      <w:r>
        <w:t xml:space="preserve">Technical assistance to homeowners, non-profits, municipalities, consultants for federal agencies, and many other stakeholders has grown far beyond </w:t>
      </w:r>
      <w:r w:rsidR="004F0986">
        <w:t>DHP’s</w:t>
      </w:r>
      <w:r>
        <w:t xml:space="preserve"> ability to respond in a timely way. </w:t>
      </w:r>
    </w:p>
    <w:p w:rsidR="00864E11" w:rsidRDefault="00864E11" w:rsidP="00864E11">
      <w:pPr>
        <w:pStyle w:val="ListParagraph"/>
        <w:numPr>
          <w:ilvl w:val="0"/>
          <w:numId w:val="21"/>
        </w:numPr>
      </w:pPr>
      <w:r>
        <w:t xml:space="preserve">National Register listings are core to the Downtown and Tax Credit programs but the National Park Services’ technical requirements challenge the reduced staff.  </w:t>
      </w:r>
    </w:p>
    <w:sectPr w:rsidR="00864E11" w:rsidSect="00DC64EE">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F00" w:rsidRDefault="00965F00" w:rsidP="00864581">
      <w:r>
        <w:separator/>
      </w:r>
    </w:p>
  </w:endnote>
  <w:endnote w:type="continuationSeparator" w:id="0">
    <w:p w:rsidR="00965F00" w:rsidRDefault="00965F00" w:rsidP="00864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12138"/>
      <w:docPartObj>
        <w:docPartGallery w:val="Page Numbers (Bottom of Page)"/>
        <w:docPartUnique/>
      </w:docPartObj>
    </w:sdtPr>
    <w:sdtEndPr>
      <w:rPr>
        <w:color w:val="7F7F7F" w:themeColor="background1" w:themeShade="7F"/>
        <w:spacing w:val="60"/>
      </w:rPr>
    </w:sdtEndPr>
    <w:sdtContent>
      <w:p w:rsidR="00BF0500" w:rsidRDefault="000365F0">
        <w:pPr>
          <w:pStyle w:val="Footer"/>
          <w:pBdr>
            <w:top w:val="single" w:sz="4" w:space="1" w:color="D9D9D9" w:themeColor="background1" w:themeShade="D9"/>
          </w:pBdr>
          <w:jc w:val="right"/>
        </w:pPr>
        <w:fldSimple w:instr=" PAGE   \* MERGEFORMAT ">
          <w:r w:rsidR="000C71B8">
            <w:rPr>
              <w:noProof/>
            </w:rPr>
            <w:t>28</w:t>
          </w:r>
        </w:fldSimple>
        <w:r w:rsidR="00BF0500">
          <w:t xml:space="preserve"> | </w:t>
        </w:r>
        <w:r w:rsidR="00BF0500">
          <w:rPr>
            <w:color w:val="7F7F7F" w:themeColor="background1" w:themeShade="7F"/>
            <w:spacing w:val="60"/>
          </w:rPr>
          <w:t>Page</w:t>
        </w:r>
      </w:p>
    </w:sdtContent>
  </w:sdt>
  <w:p w:rsidR="00BF0500" w:rsidRDefault="00BF05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F00" w:rsidRDefault="00965F00" w:rsidP="00864581">
      <w:r>
        <w:separator/>
      </w:r>
    </w:p>
  </w:footnote>
  <w:footnote w:type="continuationSeparator" w:id="0">
    <w:p w:rsidR="00965F00" w:rsidRDefault="00965F00" w:rsidP="00864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59E"/>
    <w:multiLevelType w:val="hybridMultilevel"/>
    <w:tmpl w:val="1A28B718"/>
    <w:lvl w:ilvl="0" w:tplc="04090001">
      <w:start w:val="1"/>
      <w:numFmt w:val="bullet"/>
      <w:lvlText w:val=""/>
      <w:lvlJc w:val="left"/>
      <w:pPr>
        <w:tabs>
          <w:tab w:val="num" w:pos="720"/>
        </w:tabs>
        <w:ind w:left="720" w:hanging="360"/>
      </w:pPr>
      <w:rPr>
        <w:rFonts w:ascii="Symbol" w:hAnsi="Symbol" w:hint="default"/>
      </w:rPr>
    </w:lvl>
    <w:lvl w:ilvl="1" w:tplc="A84A94D6" w:tentative="1">
      <w:start w:val="1"/>
      <w:numFmt w:val="bullet"/>
      <w:lvlText w:val=""/>
      <w:lvlJc w:val="left"/>
      <w:pPr>
        <w:tabs>
          <w:tab w:val="num" w:pos="1440"/>
        </w:tabs>
        <w:ind w:left="1440" w:hanging="360"/>
      </w:pPr>
      <w:rPr>
        <w:rFonts w:ascii="Webdings" w:hAnsi="Webdings" w:hint="default"/>
      </w:rPr>
    </w:lvl>
    <w:lvl w:ilvl="2" w:tplc="459491F8" w:tentative="1">
      <w:start w:val="1"/>
      <w:numFmt w:val="bullet"/>
      <w:lvlText w:val=""/>
      <w:lvlJc w:val="left"/>
      <w:pPr>
        <w:tabs>
          <w:tab w:val="num" w:pos="2160"/>
        </w:tabs>
        <w:ind w:left="2160" w:hanging="360"/>
      </w:pPr>
      <w:rPr>
        <w:rFonts w:ascii="Webdings" w:hAnsi="Webdings" w:hint="default"/>
      </w:rPr>
    </w:lvl>
    <w:lvl w:ilvl="3" w:tplc="3B709CF8" w:tentative="1">
      <w:start w:val="1"/>
      <w:numFmt w:val="bullet"/>
      <w:lvlText w:val=""/>
      <w:lvlJc w:val="left"/>
      <w:pPr>
        <w:tabs>
          <w:tab w:val="num" w:pos="2880"/>
        </w:tabs>
        <w:ind w:left="2880" w:hanging="360"/>
      </w:pPr>
      <w:rPr>
        <w:rFonts w:ascii="Webdings" w:hAnsi="Webdings" w:hint="default"/>
      </w:rPr>
    </w:lvl>
    <w:lvl w:ilvl="4" w:tplc="501A7278" w:tentative="1">
      <w:start w:val="1"/>
      <w:numFmt w:val="bullet"/>
      <w:lvlText w:val=""/>
      <w:lvlJc w:val="left"/>
      <w:pPr>
        <w:tabs>
          <w:tab w:val="num" w:pos="3600"/>
        </w:tabs>
        <w:ind w:left="3600" w:hanging="360"/>
      </w:pPr>
      <w:rPr>
        <w:rFonts w:ascii="Webdings" w:hAnsi="Webdings" w:hint="default"/>
      </w:rPr>
    </w:lvl>
    <w:lvl w:ilvl="5" w:tplc="E1F88292" w:tentative="1">
      <w:start w:val="1"/>
      <w:numFmt w:val="bullet"/>
      <w:lvlText w:val=""/>
      <w:lvlJc w:val="left"/>
      <w:pPr>
        <w:tabs>
          <w:tab w:val="num" w:pos="4320"/>
        </w:tabs>
        <w:ind w:left="4320" w:hanging="360"/>
      </w:pPr>
      <w:rPr>
        <w:rFonts w:ascii="Webdings" w:hAnsi="Webdings" w:hint="default"/>
      </w:rPr>
    </w:lvl>
    <w:lvl w:ilvl="6" w:tplc="9E326632" w:tentative="1">
      <w:start w:val="1"/>
      <w:numFmt w:val="bullet"/>
      <w:lvlText w:val=""/>
      <w:lvlJc w:val="left"/>
      <w:pPr>
        <w:tabs>
          <w:tab w:val="num" w:pos="5040"/>
        </w:tabs>
        <w:ind w:left="5040" w:hanging="360"/>
      </w:pPr>
      <w:rPr>
        <w:rFonts w:ascii="Webdings" w:hAnsi="Webdings" w:hint="default"/>
      </w:rPr>
    </w:lvl>
    <w:lvl w:ilvl="7" w:tplc="084EDED6" w:tentative="1">
      <w:start w:val="1"/>
      <w:numFmt w:val="bullet"/>
      <w:lvlText w:val=""/>
      <w:lvlJc w:val="left"/>
      <w:pPr>
        <w:tabs>
          <w:tab w:val="num" w:pos="5760"/>
        </w:tabs>
        <w:ind w:left="5760" w:hanging="360"/>
      </w:pPr>
      <w:rPr>
        <w:rFonts w:ascii="Webdings" w:hAnsi="Webdings" w:hint="default"/>
      </w:rPr>
    </w:lvl>
    <w:lvl w:ilvl="8" w:tplc="3668B5EE" w:tentative="1">
      <w:start w:val="1"/>
      <w:numFmt w:val="bullet"/>
      <w:lvlText w:val=""/>
      <w:lvlJc w:val="left"/>
      <w:pPr>
        <w:tabs>
          <w:tab w:val="num" w:pos="6480"/>
        </w:tabs>
        <w:ind w:left="6480" w:hanging="360"/>
      </w:pPr>
      <w:rPr>
        <w:rFonts w:ascii="Webdings" w:hAnsi="Webdings" w:hint="default"/>
      </w:rPr>
    </w:lvl>
  </w:abstractNum>
  <w:abstractNum w:abstractNumId="1">
    <w:nsid w:val="0D7328BB"/>
    <w:multiLevelType w:val="hybridMultilevel"/>
    <w:tmpl w:val="92286AA6"/>
    <w:lvl w:ilvl="0" w:tplc="04090001">
      <w:start w:val="1"/>
      <w:numFmt w:val="bullet"/>
      <w:lvlText w:val=""/>
      <w:lvlJc w:val="left"/>
      <w:pPr>
        <w:tabs>
          <w:tab w:val="num" w:pos="-2520"/>
        </w:tabs>
        <w:ind w:left="-2520" w:hanging="360"/>
      </w:pPr>
      <w:rPr>
        <w:rFonts w:ascii="Symbol" w:hAnsi="Symbol" w:hint="default"/>
      </w:rPr>
    </w:lvl>
    <w:lvl w:ilvl="1" w:tplc="7548CA9E">
      <w:start w:val="901"/>
      <w:numFmt w:val="bullet"/>
      <w:lvlText w:val=""/>
      <w:lvlJc w:val="left"/>
      <w:pPr>
        <w:tabs>
          <w:tab w:val="num" w:pos="-1800"/>
        </w:tabs>
        <w:ind w:left="-1800" w:hanging="360"/>
      </w:pPr>
      <w:rPr>
        <w:rFonts w:ascii="Symbol" w:hAnsi="Symbol" w:hint="default"/>
      </w:rPr>
    </w:lvl>
    <w:lvl w:ilvl="2" w:tplc="84AC44A4">
      <w:start w:val="1"/>
      <w:numFmt w:val="bullet"/>
      <w:lvlText w:val=""/>
      <w:lvlJc w:val="left"/>
      <w:pPr>
        <w:tabs>
          <w:tab w:val="num" w:pos="-1080"/>
        </w:tabs>
        <w:ind w:left="-1080" w:hanging="360"/>
      </w:pPr>
      <w:rPr>
        <w:rFonts w:ascii="Webdings" w:hAnsi="Webdings" w:hint="default"/>
      </w:rPr>
    </w:lvl>
    <w:lvl w:ilvl="3" w:tplc="C676589A">
      <w:start w:val="1"/>
      <w:numFmt w:val="bullet"/>
      <w:lvlText w:val=""/>
      <w:lvlJc w:val="left"/>
      <w:pPr>
        <w:tabs>
          <w:tab w:val="num" w:pos="-360"/>
        </w:tabs>
        <w:ind w:left="-360" w:hanging="360"/>
      </w:pPr>
      <w:rPr>
        <w:rFonts w:ascii="Webdings" w:hAnsi="Webdings" w:hint="default"/>
      </w:rPr>
    </w:lvl>
    <w:lvl w:ilvl="4" w:tplc="04090001">
      <w:start w:val="1"/>
      <w:numFmt w:val="bullet"/>
      <w:lvlText w:val=""/>
      <w:lvlJc w:val="left"/>
      <w:pPr>
        <w:tabs>
          <w:tab w:val="num" w:pos="360"/>
        </w:tabs>
        <w:ind w:left="360" w:hanging="360"/>
      </w:pPr>
      <w:rPr>
        <w:rFonts w:ascii="Symbol" w:hAnsi="Symbol" w:hint="default"/>
      </w:rPr>
    </w:lvl>
    <w:lvl w:ilvl="5" w:tplc="01EC0670" w:tentative="1">
      <w:start w:val="1"/>
      <w:numFmt w:val="bullet"/>
      <w:lvlText w:val=""/>
      <w:lvlJc w:val="left"/>
      <w:pPr>
        <w:tabs>
          <w:tab w:val="num" w:pos="1080"/>
        </w:tabs>
        <w:ind w:left="1080" w:hanging="360"/>
      </w:pPr>
      <w:rPr>
        <w:rFonts w:ascii="Webdings" w:hAnsi="Webdings" w:hint="default"/>
      </w:rPr>
    </w:lvl>
    <w:lvl w:ilvl="6" w:tplc="47864672" w:tentative="1">
      <w:start w:val="1"/>
      <w:numFmt w:val="bullet"/>
      <w:lvlText w:val=""/>
      <w:lvlJc w:val="left"/>
      <w:pPr>
        <w:tabs>
          <w:tab w:val="num" w:pos="1800"/>
        </w:tabs>
        <w:ind w:left="1800" w:hanging="360"/>
      </w:pPr>
      <w:rPr>
        <w:rFonts w:ascii="Webdings" w:hAnsi="Webdings" w:hint="default"/>
      </w:rPr>
    </w:lvl>
    <w:lvl w:ilvl="7" w:tplc="F9562204" w:tentative="1">
      <w:start w:val="1"/>
      <w:numFmt w:val="bullet"/>
      <w:lvlText w:val=""/>
      <w:lvlJc w:val="left"/>
      <w:pPr>
        <w:tabs>
          <w:tab w:val="num" w:pos="2520"/>
        </w:tabs>
        <w:ind w:left="2520" w:hanging="360"/>
      </w:pPr>
      <w:rPr>
        <w:rFonts w:ascii="Webdings" w:hAnsi="Webdings" w:hint="default"/>
      </w:rPr>
    </w:lvl>
    <w:lvl w:ilvl="8" w:tplc="4BE400F2" w:tentative="1">
      <w:start w:val="1"/>
      <w:numFmt w:val="bullet"/>
      <w:lvlText w:val=""/>
      <w:lvlJc w:val="left"/>
      <w:pPr>
        <w:tabs>
          <w:tab w:val="num" w:pos="3240"/>
        </w:tabs>
        <w:ind w:left="3240" w:hanging="360"/>
      </w:pPr>
      <w:rPr>
        <w:rFonts w:ascii="Webdings" w:hAnsi="Webdings" w:hint="default"/>
      </w:rPr>
    </w:lvl>
  </w:abstractNum>
  <w:abstractNum w:abstractNumId="2">
    <w:nsid w:val="15535469"/>
    <w:multiLevelType w:val="hybridMultilevel"/>
    <w:tmpl w:val="155C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66E09"/>
    <w:multiLevelType w:val="hybridMultilevel"/>
    <w:tmpl w:val="2E48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63F9D"/>
    <w:multiLevelType w:val="hybridMultilevel"/>
    <w:tmpl w:val="441E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B2427"/>
    <w:multiLevelType w:val="hybridMultilevel"/>
    <w:tmpl w:val="540264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D92B91"/>
    <w:multiLevelType w:val="hybridMultilevel"/>
    <w:tmpl w:val="1148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24D6A"/>
    <w:multiLevelType w:val="hybridMultilevel"/>
    <w:tmpl w:val="2A72D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83B1F"/>
    <w:multiLevelType w:val="hybridMultilevel"/>
    <w:tmpl w:val="EDA677F6"/>
    <w:lvl w:ilvl="0" w:tplc="92C87C82">
      <w:start w:val="1"/>
      <w:numFmt w:val="decimal"/>
      <w:lvlText w:val="%1."/>
      <w:lvlJc w:val="left"/>
      <w:pPr>
        <w:ind w:left="720" w:hanging="36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77414"/>
    <w:multiLevelType w:val="hybridMultilevel"/>
    <w:tmpl w:val="E9A4F6BC"/>
    <w:lvl w:ilvl="0" w:tplc="3BCC919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46CA1"/>
    <w:multiLevelType w:val="hybridMultilevel"/>
    <w:tmpl w:val="5CA2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520EC2"/>
    <w:multiLevelType w:val="hybridMultilevel"/>
    <w:tmpl w:val="B972C8FC"/>
    <w:lvl w:ilvl="0" w:tplc="04090001">
      <w:start w:val="1"/>
      <w:numFmt w:val="bullet"/>
      <w:lvlText w:val=""/>
      <w:lvlJc w:val="left"/>
      <w:pPr>
        <w:tabs>
          <w:tab w:val="num" w:pos="360"/>
        </w:tabs>
        <w:ind w:left="360" w:hanging="360"/>
      </w:pPr>
      <w:rPr>
        <w:rFonts w:ascii="Symbol" w:hAnsi="Symbol" w:hint="default"/>
      </w:rPr>
    </w:lvl>
    <w:lvl w:ilvl="1" w:tplc="D6D65DC8" w:tentative="1">
      <w:start w:val="1"/>
      <w:numFmt w:val="bullet"/>
      <w:lvlText w:val=""/>
      <w:lvlJc w:val="left"/>
      <w:pPr>
        <w:tabs>
          <w:tab w:val="num" w:pos="1080"/>
        </w:tabs>
        <w:ind w:left="1080" w:hanging="360"/>
      </w:pPr>
      <w:rPr>
        <w:rFonts w:ascii="Webdings" w:hAnsi="Webdings" w:hint="default"/>
      </w:rPr>
    </w:lvl>
    <w:lvl w:ilvl="2" w:tplc="28C2FD3E" w:tentative="1">
      <w:start w:val="1"/>
      <w:numFmt w:val="bullet"/>
      <w:lvlText w:val=""/>
      <w:lvlJc w:val="left"/>
      <w:pPr>
        <w:tabs>
          <w:tab w:val="num" w:pos="1800"/>
        </w:tabs>
        <w:ind w:left="1800" w:hanging="360"/>
      </w:pPr>
      <w:rPr>
        <w:rFonts w:ascii="Webdings" w:hAnsi="Webdings" w:hint="default"/>
      </w:rPr>
    </w:lvl>
    <w:lvl w:ilvl="3" w:tplc="C3067694" w:tentative="1">
      <w:start w:val="1"/>
      <w:numFmt w:val="bullet"/>
      <w:lvlText w:val=""/>
      <w:lvlJc w:val="left"/>
      <w:pPr>
        <w:tabs>
          <w:tab w:val="num" w:pos="2520"/>
        </w:tabs>
        <w:ind w:left="2520" w:hanging="360"/>
      </w:pPr>
      <w:rPr>
        <w:rFonts w:ascii="Webdings" w:hAnsi="Webdings" w:hint="default"/>
      </w:rPr>
    </w:lvl>
    <w:lvl w:ilvl="4" w:tplc="82B28294" w:tentative="1">
      <w:start w:val="1"/>
      <w:numFmt w:val="bullet"/>
      <w:lvlText w:val=""/>
      <w:lvlJc w:val="left"/>
      <w:pPr>
        <w:tabs>
          <w:tab w:val="num" w:pos="3240"/>
        </w:tabs>
        <w:ind w:left="3240" w:hanging="360"/>
      </w:pPr>
      <w:rPr>
        <w:rFonts w:ascii="Webdings" w:hAnsi="Webdings" w:hint="default"/>
      </w:rPr>
    </w:lvl>
    <w:lvl w:ilvl="5" w:tplc="E2042F46" w:tentative="1">
      <w:start w:val="1"/>
      <w:numFmt w:val="bullet"/>
      <w:lvlText w:val=""/>
      <w:lvlJc w:val="left"/>
      <w:pPr>
        <w:tabs>
          <w:tab w:val="num" w:pos="3960"/>
        </w:tabs>
        <w:ind w:left="3960" w:hanging="360"/>
      </w:pPr>
      <w:rPr>
        <w:rFonts w:ascii="Webdings" w:hAnsi="Webdings" w:hint="default"/>
      </w:rPr>
    </w:lvl>
    <w:lvl w:ilvl="6" w:tplc="04DA6306" w:tentative="1">
      <w:start w:val="1"/>
      <w:numFmt w:val="bullet"/>
      <w:lvlText w:val=""/>
      <w:lvlJc w:val="left"/>
      <w:pPr>
        <w:tabs>
          <w:tab w:val="num" w:pos="4680"/>
        </w:tabs>
        <w:ind w:left="4680" w:hanging="360"/>
      </w:pPr>
      <w:rPr>
        <w:rFonts w:ascii="Webdings" w:hAnsi="Webdings" w:hint="default"/>
      </w:rPr>
    </w:lvl>
    <w:lvl w:ilvl="7" w:tplc="7632C71C" w:tentative="1">
      <w:start w:val="1"/>
      <w:numFmt w:val="bullet"/>
      <w:lvlText w:val=""/>
      <w:lvlJc w:val="left"/>
      <w:pPr>
        <w:tabs>
          <w:tab w:val="num" w:pos="5400"/>
        </w:tabs>
        <w:ind w:left="5400" w:hanging="360"/>
      </w:pPr>
      <w:rPr>
        <w:rFonts w:ascii="Webdings" w:hAnsi="Webdings" w:hint="default"/>
      </w:rPr>
    </w:lvl>
    <w:lvl w:ilvl="8" w:tplc="34B678AC" w:tentative="1">
      <w:start w:val="1"/>
      <w:numFmt w:val="bullet"/>
      <w:lvlText w:val=""/>
      <w:lvlJc w:val="left"/>
      <w:pPr>
        <w:tabs>
          <w:tab w:val="num" w:pos="6120"/>
        </w:tabs>
        <w:ind w:left="6120" w:hanging="360"/>
      </w:pPr>
      <w:rPr>
        <w:rFonts w:ascii="Webdings" w:hAnsi="Webdings" w:hint="default"/>
      </w:rPr>
    </w:lvl>
  </w:abstractNum>
  <w:abstractNum w:abstractNumId="12">
    <w:nsid w:val="49AE5FCB"/>
    <w:multiLevelType w:val="hybridMultilevel"/>
    <w:tmpl w:val="55785874"/>
    <w:lvl w:ilvl="0" w:tplc="04090001">
      <w:start w:val="1"/>
      <w:numFmt w:val="bullet"/>
      <w:lvlText w:val=""/>
      <w:lvlJc w:val="left"/>
      <w:pPr>
        <w:tabs>
          <w:tab w:val="num" w:pos="-2520"/>
        </w:tabs>
        <w:ind w:left="-2520" w:hanging="360"/>
      </w:pPr>
      <w:rPr>
        <w:rFonts w:ascii="Symbol" w:hAnsi="Symbol" w:hint="default"/>
      </w:rPr>
    </w:lvl>
    <w:lvl w:ilvl="1" w:tplc="7548CA9E">
      <w:start w:val="901"/>
      <w:numFmt w:val="bullet"/>
      <w:lvlText w:val=""/>
      <w:lvlJc w:val="left"/>
      <w:pPr>
        <w:tabs>
          <w:tab w:val="num" w:pos="-1800"/>
        </w:tabs>
        <w:ind w:left="-1800" w:hanging="360"/>
      </w:pPr>
      <w:rPr>
        <w:rFonts w:ascii="Symbol" w:hAnsi="Symbol" w:hint="default"/>
      </w:rPr>
    </w:lvl>
    <w:lvl w:ilvl="2" w:tplc="84AC44A4">
      <w:start w:val="1"/>
      <w:numFmt w:val="bullet"/>
      <w:lvlText w:val=""/>
      <w:lvlJc w:val="left"/>
      <w:pPr>
        <w:tabs>
          <w:tab w:val="num" w:pos="-1080"/>
        </w:tabs>
        <w:ind w:left="-1080" w:hanging="360"/>
      </w:pPr>
      <w:rPr>
        <w:rFonts w:ascii="Webdings" w:hAnsi="Webdings" w:hint="default"/>
      </w:rPr>
    </w:lvl>
    <w:lvl w:ilvl="3" w:tplc="C676589A">
      <w:start w:val="1"/>
      <w:numFmt w:val="bullet"/>
      <w:lvlText w:val=""/>
      <w:lvlJc w:val="left"/>
      <w:pPr>
        <w:tabs>
          <w:tab w:val="num" w:pos="-360"/>
        </w:tabs>
        <w:ind w:left="-360" w:hanging="360"/>
      </w:pPr>
      <w:rPr>
        <w:rFonts w:ascii="Webdings" w:hAnsi="Webdings" w:hint="default"/>
      </w:rPr>
    </w:lvl>
    <w:lvl w:ilvl="4" w:tplc="04090001">
      <w:start w:val="1"/>
      <w:numFmt w:val="bullet"/>
      <w:lvlText w:val=""/>
      <w:lvlJc w:val="left"/>
      <w:pPr>
        <w:tabs>
          <w:tab w:val="num" w:pos="360"/>
        </w:tabs>
        <w:ind w:left="360" w:hanging="360"/>
      </w:pPr>
      <w:rPr>
        <w:rFonts w:ascii="Symbol" w:hAnsi="Symbol" w:hint="default"/>
      </w:rPr>
    </w:lvl>
    <w:lvl w:ilvl="5" w:tplc="01EC0670">
      <w:start w:val="1"/>
      <w:numFmt w:val="bullet"/>
      <w:lvlText w:val=""/>
      <w:lvlJc w:val="left"/>
      <w:pPr>
        <w:tabs>
          <w:tab w:val="num" w:pos="1080"/>
        </w:tabs>
        <w:ind w:left="1080" w:hanging="360"/>
      </w:pPr>
      <w:rPr>
        <w:rFonts w:ascii="Webdings" w:hAnsi="Webdings" w:hint="default"/>
      </w:rPr>
    </w:lvl>
    <w:lvl w:ilvl="6" w:tplc="47864672" w:tentative="1">
      <w:start w:val="1"/>
      <w:numFmt w:val="bullet"/>
      <w:lvlText w:val=""/>
      <w:lvlJc w:val="left"/>
      <w:pPr>
        <w:tabs>
          <w:tab w:val="num" w:pos="1800"/>
        </w:tabs>
        <w:ind w:left="1800" w:hanging="360"/>
      </w:pPr>
      <w:rPr>
        <w:rFonts w:ascii="Webdings" w:hAnsi="Webdings" w:hint="default"/>
      </w:rPr>
    </w:lvl>
    <w:lvl w:ilvl="7" w:tplc="F9562204" w:tentative="1">
      <w:start w:val="1"/>
      <w:numFmt w:val="bullet"/>
      <w:lvlText w:val=""/>
      <w:lvlJc w:val="left"/>
      <w:pPr>
        <w:tabs>
          <w:tab w:val="num" w:pos="2520"/>
        </w:tabs>
        <w:ind w:left="2520" w:hanging="360"/>
      </w:pPr>
      <w:rPr>
        <w:rFonts w:ascii="Webdings" w:hAnsi="Webdings" w:hint="default"/>
      </w:rPr>
    </w:lvl>
    <w:lvl w:ilvl="8" w:tplc="4BE400F2" w:tentative="1">
      <w:start w:val="1"/>
      <w:numFmt w:val="bullet"/>
      <w:lvlText w:val=""/>
      <w:lvlJc w:val="left"/>
      <w:pPr>
        <w:tabs>
          <w:tab w:val="num" w:pos="3240"/>
        </w:tabs>
        <w:ind w:left="3240" w:hanging="360"/>
      </w:pPr>
      <w:rPr>
        <w:rFonts w:ascii="Webdings" w:hAnsi="Webdings" w:hint="default"/>
      </w:rPr>
    </w:lvl>
  </w:abstractNum>
  <w:abstractNum w:abstractNumId="13">
    <w:nsid w:val="4C1754AB"/>
    <w:multiLevelType w:val="hybridMultilevel"/>
    <w:tmpl w:val="D77C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242220"/>
    <w:multiLevelType w:val="hybridMultilevel"/>
    <w:tmpl w:val="9D98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726EA5"/>
    <w:multiLevelType w:val="hybridMultilevel"/>
    <w:tmpl w:val="0F907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6640998"/>
    <w:multiLevelType w:val="hybridMultilevel"/>
    <w:tmpl w:val="7652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D2597"/>
    <w:multiLevelType w:val="hybridMultilevel"/>
    <w:tmpl w:val="71AA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52F2E"/>
    <w:multiLevelType w:val="hybridMultilevel"/>
    <w:tmpl w:val="6AD4B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EB22B6B"/>
    <w:multiLevelType w:val="hybridMultilevel"/>
    <w:tmpl w:val="D8FCC1DA"/>
    <w:lvl w:ilvl="0" w:tplc="04090001">
      <w:start w:val="1"/>
      <w:numFmt w:val="bullet"/>
      <w:lvlText w:val=""/>
      <w:lvlJc w:val="left"/>
      <w:pPr>
        <w:tabs>
          <w:tab w:val="num" w:pos="-2520"/>
        </w:tabs>
        <w:ind w:left="-2520" w:hanging="360"/>
      </w:pPr>
      <w:rPr>
        <w:rFonts w:ascii="Symbol" w:hAnsi="Symbol" w:hint="default"/>
      </w:rPr>
    </w:lvl>
    <w:lvl w:ilvl="1" w:tplc="7548CA9E">
      <w:start w:val="901"/>
      <w:numFmt w:val="bullet"/>
      <w:lvlText w:val=""/>
      <w:lvlJc w:val="left"/>
      <w:pPr>
        <w:tabs>
          <w:tab w:val="num" w:pos="-1800"/>
        </w:tabs>
        <w:ind w:left="-1800" w:hanging="360"/>
      </w:pPr>
      <w:rPr>
        <w:rFonts w:ascii="Symbol" w:hAnsi="Symbol" w:hint="default"/>
      </w:rPr>
    </w:lvl>
    <w:lvl w:ilvl="2" w:tplc="84AC44A4">
      <w:start w:val="1"/>
      <w:numFmt w:val="bullet"/>
      <w:lvlText w:val=""/>
      <w:lvlJc w:val="left"/>
      <w:pPr>
        <w:tabs>
          <w:tab w:val="num" w:pos="-1080"/>
        </w:tabs>
        <w:ind w:left="-1080" w:hanging="360"/>
      </w:pPr>
      <w:rPr>
        <w:rFonts w:ascii="Webdings" w:hAnsi="Webdings" w:hint="default"/>
      </w:rPr>
    </w:lvl>
    <w:lvl w:ilvl="3" w:tplc="C676589A">
      <w:start w:val="1"/>
      <w:numFmt w:val="bullet"/>
      <w:lvlText w:val=""/>
      <w:lvlJc w:val="left"/>
      <w:pPr>
        <w:tabs>
          <w:tab w:val="num" w:pos="-360"/>
        </w:tabs>
        <w:ind w:left="-360" w:hanging="360"/>
      </w:pPr>
      <w:rPr>
        <w:rFonts w:ascii="Webdings" w:hAnsi="Webdings" w:hint="default"/>
      </w:rPr>
    </w:lvl>
    <w:lvl w:ilvl="4" w:tplc="70CA7168">
      <w:start w:val="1"/>
      <w:numFmt w:val="bullet"/>
      <w:lvlText w:val=""/>
      <w:lvlJc w:val="left"/>
      <w:pPr>
        <w:tabs>
          <w:tab w:val="num" w:pos="360"/>
        </w:tabs>
        <w:ind w:left="360" w:hanging="360"/>
      </w:pPr>
      <w:rPr>
        <w:rFonts w:ascii="Webdings" w:hAnsi="Webdings" w:hint="default"/>
      </w:rPr>
    </w:lvl>
    <w:lvl w:ilvl="5" w:tplc="01EC0670">
      <w:start w:val="1"/>
      <w:numFmt w:val="bullet"/>
      <w:lvlText w:val=""/>
      <w:lvlJc w:val="left"/>
      <w:pPr>
        <w:tabs>
          <w:tab w:val="num" w:pos="1080"/>
        </w:tabs>
        <w:ind w:left="1080" w:hanging="360"/>
      </w:pPr>
      <w:rPr>
        <w:rFonts w:ascii="Webdings" w:hAnsi="Webdings" w:hint="default"/>
      </w:rPr>
    </w:lvl>
    <w:lvl w:ilvl="6" w:tplc="47864672" w:tentative="1">
      <w:start w:val="1"/>
      <w:numFmt w:val="bullet"/>
      <w:lvlText w:val=""/>
      <w:lvlJc w:val="left"/>
      <w:pPr>
        <w:tabs>
          <w:tab w:val="num" w:pos="1800"/>
        </w:tabs>
        <w:ind w:left="1800" w:hanging="360"/>
      </w:pPr>
      <w:rPr>
        <w:rFonts w:ascii="Webdings" w:hAnsi="Webdings" w:hint="default"/>
      </w:rPr>
    </w:lvl>
    <w:lvl w:ilvl="7" w:tplc="F9562204" w:tentative="1">
      <w:start w:val="1"/>
      <w:numFmt w:val="bullet"/>
      <w:lvlText w:val=""/>
      <w:lvlJc w:val="left"/>
      <w:pPr>
        <w:tabs>
          <w:tab w:val="num" w:pos="2520"/>
        </w:tabs>
        <w:ind w:left="2520" w:hanging="360"/>
      </w:pPr>
      <w:rPr>
        <w:rFonts w:ascii="Webdings" w:hAnsi="Webdings" w:hint="default"/>
      </w:rPr>
    </w:lvl>
    <w:lvl w:ilvl="8" w:tplc="4BE400F2" w:tentative="1">
      <w:start w:val="1"/>
      <w:numFmt w:val="bullet"/>
      <w:lvlText w:val=""/>
      <w:lvlJc w:val="left"/>
      <w:pPr>
        <w:tabs>
          <w:tab w:val="num" w:pos="3240"/>
        </w:tabs>
        <w:ind w:left="3240" w:hanging="360"/>
      </w:pPr>
      <w:rPr>
        <w:rFonts w:ascii="Webdings" w:hAnsi="Webdings" w:hint="default"/>
      </w:rPr>
    </w:lvl>
  </w:abstractNum>
  <w:abstractNum w:abstractNumId="20">
    <w:nsid w:val="605C725C"/>
    <w:multiLevelType w:val="hybridMultilevel"/>
    <w:tmpl w:val="E52A23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1E30AD"/>
    <w:multiLevelType w:val="hybridMultilevel"/>
    <w:tmpl w:val="4F12BD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4A1366"/>
    <w:multiLevelType w:val="hybridMultilevel"/>
    <w:tmpl w:val="BE90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C46CDD"/>
    <w:multiLevelType w:val="hybridMultilevel"/>
    <w:tmpl w:val="6D8C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23034C"/>
    <w:multiLevelType w:val="hybridMultilevel"/>
    <w:tmpl w:val="4B7A1D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8F144C3"/>
    <w:multiLevelType w:val="hybridMultilevel"/>
    <w:tmpl w:val="8454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861FCE"/>
    <w:multiLevelType w:val="hybridMultilevel"/>
    <w:tmpl w:val="B25E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6F144C"/>
    <w:multiLevelType w:val="hybridMultilevel"/>
    <w:tmpl w:val="677687CE"/>
    <w:lvl w:ilvl="0" w:tplc="0EC034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AE6A0A"/>
    <w:multiLevelType w:val="hybridMultilevel"/>
    <w:tmpl w:val="869C7C86"/>
    <w:lvl w:ilvl="0" w:tplc="04090001">
      <w:start w:val="1"/>
      <w:numFmt w:val="bullet"/>
      <w:lvlText w:val=""/>
      <w:lvlJc w:val="left"/>
      <w:pPr>
        <w:tabs>
          <w:tab w:val="num" w:pos="-2520"/>
        </w:tabs>
        <w:ind w:left="-2520" w:hanging="360"/>
      </w:pPr>
      <w:rPr>
        <w:rFonts w:ascii="Symbol" w:hAnsi="Symbol" w:hint="default"/>
      </w:rPr>
    </w:lvl>
    <w:lvl w:ilvl="1" w:tplc="7548CA9E">
      <w:start w:val="901"/>
      <w:numFmt w:val="bullet"/>
      <w:lvlText w:val=""/>
      <w:lvlJc w:val="left"/>
      <w:pPr>
        <w:tabs>
          <w:tab w:val="num" w:pos="-1800"/>
        </w:tabs>
        <w:ind w:left="-1800" w:hanging="360"/>
      </w:pPr>
      <w:rPr>
        <w:rFonts w:ascii="Symbol" w:hAnsi="Symbol" w:hint="default"/>
      </w:rPr>
    </w:lvl>
    <w:lvl w:ilvl="2" w:tplc="84AC44A4">
      <w:start w:val="1"/>
      <w:numFmt w:val="bullet"/>
      <w:lvlText w:val=""/>
      <w:lvlJc w:val="left"/>
      <w:pPr>
        <w:tabs>
          <w:tab w:val="num" w:pos="-1080"/>
        </w:tabs>
        <w:ind w:left="-1080" w:hanging="360"/>
      </w:pPr>
      <w:rPr>
        <w:rFonts w:ascii="Webdings" w:hAnsi="Webdings" w:hint="default"/>
      </w:rPr>
    </w:lvl>
    <w:lvl w:ilvl="3" w:tplc="C676589A">
      <w:start w:val="1"/>
      <w:numFmt w:val="bullet"/>
      <w:lvlText w:val=""/>
      <w:lvlJc w:val="left"/>
      <w:pPr>
        <w:tabs>
          <w:tab w:val="num" w:pos="-360"/>
        </w:tabs>
        <w:ind w:left="-360" w:hanging="360"/>
      </w:pPr>
      <w:rPr>
        <w:rFonts w:ascii="Webdings" w:hAnsi="Webdings" w:hint="default"/>
      </w:rPr>
    </w:lvl>
    <w:lvl w:ilvl="4" w:tplc="04090001">
      <w:start w:val="1"/>
      <w:numFmt w:val="bullet"/>
      <w:lvlText w:val=""/>
      <w:lvlJc w:val="left"/>
      <w:pPr>
        <w:tabs>
          <w:tab w:val="num" w:pos="360"/>
        </w:tabs>
        <w:ind w:left="360" w:hanging="360"/>
      </w:pPr>
      <w:rPr>
        <w:rFonts w:ascii="Symbol" w:hAnsi="Symbol" w:hint="default"/>
      </w:rPr>
    </w:lvl>
    <w:lvl w:ilvl="5" w:tplc="01EC0670" w:tentative="1">
      <w:start w:val="1"/>
      <w:numFmt w:val="bullet"/>
      <w:lvlText w:val=""/>
      <w:lvlJc w:val="left"/>
      <w:pPr>
        <w:tabs>
          <w:tab w:val="num" w:pos="1080"/>
        </w:tabs>
        <w:ind w:left="1080" w:hanging="360"/>
      </w:pPr>
      <w:rPr>
        <w:rFonts w:ascii="Webdings" w:hAnsi="Webdings" w:hint="default"/>
      </w:rPr>
    </w:lvl>
    <w:lvl w:ilvl="6" w:tplc="47864672" w:tentative="1">
      <w:start w:val="1"/>
      <w:numFmt w:val="bullet"/>
      <w:lvlText w:val=""/>
      <w:lvlJc w:val="left"/>
      <w:pPr>
        <w:tabs>
          <w:tab w:val="num" w:pos="1800"/>
        </w:tabs>
        <w:ind w:left="1800" w:hanging="360"/>
      </w:pPr>
      <w:rPr>
        <w:rFonts w:ascii="Webdings" w:hAnsi="Webdings" w:hint="default"/>
      </w:rPr>
    </w:lvl>
    <w:lvl w:ilvl="7" w:tplc="F9562204" w:tentative="1">
      <w:start w:val="1"/>
      <w:numFmt w:val="bullet"/>
      <w:lvlText w:val=""/>
      <w:lvlJc w:val="left"/>
      <w:pPr>
        <w:tabs>
          <w:tab w:val="num" w:pos="2520"/>
        </w:tabs>
        <w:ind w:left="2520" w:hanging="360"/>
      </w:pPr>
      <w:rPr>
        <w:rFonts w:ascii="Webdings" w:hAnsi="Webdings" w:hint="default"/>
      </w:rPr>
    </w:lvl>
    <w:lvl w:ilvl="8" w:tplc="4BE400F2" w:tentative="1">
      <w:start w:val="1"/>
      <w:numFmt w:val="bullet"/>
      <w:lvlText w:val=""/>
      <w:lvlJc w:val="left"/>
      <w:pPr>
        <w:tabs>
          <w:tab w:val="num" w:pos="3240"/>
        </w:tabs>
        <w:ind w:left="3240" w:hanging="360"/>
      </w:pPr>
      <w:rPr>
        <w:rFonts w:ascii="Webdings" w:hAnsi="Webdings" w:hint="default"/>
      </w:rPr>
    </w:lvl>
  </w:abstractNum>
  <w:num w:numId="1">
    <w:abstractNumId w:val="15"/>
  </w:num>
  <w:num w:numId="2">
    <w:abstractNumId w:val="27"/>
  </w:num>
  <w:num w:numId="3">
    <w:abstractNumId w:val="11"/>
  </w:num>
  <w:num w:numId="4">
    <w:abstractNumId w:val="20"/>
  </w:num>
  <w:num w:numId="5">
    <w:abstractNumId w:val="19"/>
  </w:num>
  <w:num w:numId="6">
    <w:abstractNumId w:val="8"/>
  </w:num>
  <w:num w:numId="7">
    <w:abstractNumId w:val="23"/>
  </w:num>
  <w:num w:numId="8">
    <w:abstractNumId w:val="5"/>
  </w:num>
  <w:num w:numId="9">
    <w:abstractNumId w:val="28"/>
  </w:num>
  <w:num w:numId="10">
    <w:abstractNumId w:val="16"/>
  </w:num>
  <w:num w:numId="11">
    <w:abstractNumId w:val="1"/>
  </w:num>
  <w:num w:numId="12">
    <w:abstractNumId w:val="12"/>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0"/>
  </w:num>
  <w:num w:numId="16">
    <w:abstractNumId w:val="22"/>
  </w:num>
  <w:num w:numId="17">
    <w:abstractNumId w:val="26"/>
  </w:num>
  <w:num w:numId="18">
    <w:abstractNumId w:val="4"/>
  </w:num>
  <w:num w:numId="19">
    <w:abstractNumId w:val="0"/>
  </w:num>
  <w:num w:numId="20">
    <w:abstractNumId w:val="13"/>
  </w:num>
  <w:num w:numId="21">
    <w:abstractNumId w:val="9"/>
  </w:num>
  <w:num w:numId="2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7"/>
  </w:num>
  <w:num w:numId="28">
    <w:abstractNumId w:val="3"/>
  </w:num>
  <w:num w:numId="29">
    <w:abstractNumId w:val="6"/>
  </w:num>
  <w:num w:numId="30">
    <w:abstractNumId w:val="2"/>
  </w:num>
  <w:num w:numId="31">
    <w:abstractNumId w:val="2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73CA7"/>
    <w:rsid w:val="00000F3A"/>
    <w:rsid w:val="00017887"/>
    <w:rsid w:val="000221BA"/>
    <w:rsid w:val="00030B6C"/>
    <w:rsid w:val="00030D8D"/>
    <w:rsid w:val="00030F26"/>
    <w:rsid w:val="0003116C"/>
    <w:rsid w:val="0003160D"/>
    <w:rsid w:val="0003265A"/>
    <w:rsid w:val="00033C42"/>
    <w:rsid w:val="000365F0"/>
    <w:rsid w:val="00037372"/>
    <w:rsid w:val="000401D4"/>
    <w:rsid w:val="0004118B"/>
    <w:rsid w:val="000471A5"/>
    <w:rsid w:val="00054005"/>
    <w:rsid w:val="00061082"/>
    <w:rsid w:val="000624B1"/>
    <w:rsid w:val="00085BB7"/>
    <w:rsid w:val="000930AF"/>
    <w:rsid w:val="000A3BE6"/>
    <w:rsid w:val="000B2188"/>
    <w:rsid w:val="000B307B"/>
    <w:rsid w:val="000B58A2"/>
    <w:rsid w:val="000B648D"/>
    <w:rsid w:val="000B74D8"/>
    <w:rsid w:val="000C5457"/>
    <w:rsid w:val="000C71B8"/>
    <w:rsid w:val="000D04F9"/>
    <w:rsid w:val="000D0E6F"/>
    <w:rsid w:val="000E05D3"/>
    <w:rsid w:val="000E0C2D"/>
    <w:rsid w:val="000E7C42"/>
    <w:rsid w:val="000F0D7D"/>
    <w:rsid w:val="000F3339"/>
    <w:rsid w:val="000F3ECA"/>
    <w:rsid w:val="00100E1C"/>
    <w:rsid w:val="0010541C"/>
    <w:rsid w:val="0010618F"/>
    <w:rsid w:val="001120BE"/>
    <w:rsid w:val="00112767"/>
    <w:rsid w:val="00117786"/>
    <w:rsid w:val="001322B2"/>
    <w:rsid w:val="00134B68"/>
    <w:rsid w:val="001529D7"/>
    <w:rsid w:val="00164DE5"/>
    <w:rsid w:val="00173A76"/>
    <w:rsid w:val="00184A92"/>
    <w:rsid w:val="00184AF6"/>
    <w:rsid w:val="00187841"/>
    <w:rsid w:val="0019018D"/>
    <w:rsid w:val="001926B6"/>
    <w:rsid w:val="00195FF8"/>
    <w:rsid w:val="001A4302"/>
    <w:rsid w:val="001B0A84"/>
    <w:rsid w:val="001B59FD"/>
    <w:rsid w:val="001C0C86"/>
    <w:rsid w:val="001D7DDB"/>
    <w:rsid w:val="001E40A0"/>
    <w:rsid w:val="001E45F0"/>
    <w:rsid w:val="001E56F2"/>
    <w:rsid w:val="001E6038"/>
    <w:rsid w:val="001E70D6"/>
    <w:rsid w:val="001F57AB"/>
    <w:rsid w:val="001F707B"/>
    <w:rsid w:val="00202350"/>
    <w:rsid w:val="00207565"/>
    <w:rsid w:val="0021621D"/>
    <w:rsid w:val="002276DB"/>
    <w:rsid w:val="00230C64"/>
    <w:rsid w:val="00233665"/>
    <w:rsid w:val="00241F46"/>
    <w:rsid w:val="00246FC6"/>
    <w:rsid w:val="00252474"/>
    <w:rsid w:val="00255E5C"/>
    <w:rsid w:val="002625CF"/>
    <w:rsid w:val="00262C82"/>
    <w:rsid w:val="002653F0"/>
    <w:rsid w:val="00267690"/>
    <w:rsid w:val="00275AD2"/>
    <w:rsid w:val="00281C1C"/>
    <w:rsid w:val="002922CB"/>
    <w:rsid w:val="00294C83"/>
    <w:rsid w:val="002B497E"/>
    <w:rsid w:val="002B568C"/>
    <w:rsid w:val="002B6180"/>
    <w:rsid w:val="002C13C6"/>
    <w:rsid w:val="002C559F"/>
    <w:rsid w:val="002D793A"/>
    <w:rsid w:val="002E4CAA"/>
    <w:rsid w:val="002F5B01"/>
    <w:rsid w:val="00301470"/>
    <w:rsid w:val="003209D3"/>
    <w:rsid w:val="00323D83"/>
    <w:rsid w:val="00331D04"/>
    <w:rsid w:val="00333406"/>
    <w:rsid w:val="00336825"/>
    <w:rsid w:val="0034775A"/>
    <w:rsid w:val="00347F5D"/>
    <w:rsid w:val="00350634"/>
    <w:rsid w:val="00357872"/>
    <w:rsid w:val="00361BDE"/>
    <w:rsid w:val="00364BB3"/>
    <w:rsid w:val="0036713A"/>
    <w:rsid w:val="00382FCD"/>
    <w:rsid w:val="00384B78"/>
    <w:rsid w:val="00386759"/>
    <w:rsid w:val="00391274"/>
    <w:rsid w:val="003945F7"/>
    <w:rsid w:val="00396064"/>
    <w:rsid w:val="0039680F"/>
    <w:rsid w:val="003A0F9A"/>
    <w:rsid w:val="003A1C4B"/>
    <w:rsid w:val="003A1FBD"/>
    <w:rsid w:val="003B1013"/>
    <w:rsid w:val="003B5825"/>
    <w:rsid w:val="003C042A"/>
    <w:rsid w:val="003C0FC5"/>
    <w:rsid w:val="003C455E"/>
    <w:rsid w:val="003D3EAB"/>
    <w:rsid w:val="003D499C"/>
    <w:rsid w:val="003E2EF1"/>
    <w:rsid w:val="003E4281"/>
    <w:rsid w:val="003F0895"/>
    <w:rsid w:val="003F1E94"/>
    <w:rsid w:val="003F5211"/>
    <w:rsid w:val="00401444"/>
    <w:rsid w:val="004038F8"/>
    <w:rsid w:val="0040657B"/>
    <w:rsid w:val="00413BFB"/>
    <w:rsid w:val="004235E3"/>
    <w:rsid w:val="00432E6B"/>
    <w:rsid w:val="00435E88"/>
    <w:rsid w:val="00441952"/>
    <w:rsid w:val="004425D0"/>
    <w:rsid w:val="004459C1"/>
    <w:rsid w:val="00447F4F"/>
    <w:rsid w:val="00463EFF"/>
    <w:rsid w:val="00480410"/>
    <w:rsid w:val="004805A2"/>
    <w:rsid w:val="00481E88"/>
    <w:rsid w:val="00482780"/>
    <w:rsid w:val="00493311"/>
    <w:rsid w:val="00493A6F"/>
    <w:rsid w:val="00495287"/>
    <w:rsid w:val="004A35AD"/>
    <w:rsid w:val="004A60E9"/>
    <w:rsid w:val="004B7ECC"/>
    <w:rsid w:val="004C366B"/>
    <w:rsid w:val="004F0986"/>
    <w:rsid w:val="004F1865"/>
    <w:rsid w:val="004F2C9E"/>
    <w:rsid w:val="004F2EA6"/>
    <w:rsid w:val="004F3413"/>
    <w:rsid w:val="004F72DA"/>
    <w:rsid w:val="004F7ABA"/>
    <w:rsid w:val="00501C75"/>
    <w:rsid w:val="00516528"/>
    <w:rsid w:val="00517D6F"/>
    <w:rsid w:val="00524040"/>
    <w:rsid w:val="00524AA7"/>
    <w:rsid w:val="005279C9"/>
    <w:rsid w:val="0053217E"/>
    <w:rsid w:val="00543B1C"/>
    <w:rsid w:val="00544A71"/>
    <w:rsid w:val="005452A5"/>
    <w:rsid w:val="00553013"/>
    <w:rsid w:val="0056193B"/>
    <w:rsid w:val="005665CF"/>
    <w:rsid w:val="0057521A"/>
    <w:rsid w:val="0059300D"/>
    <w:rsid w:val="005933BE"/>
    <w:rsid w:val="005A22F2"/>
    <w:rsid w:val="005B0B06"/>
    <w:rsid w:val="005C0C68"/>
    <w:rsid w:val="005E0D1F"/>
    <w:rsid w:val="005E3D2C"/>
    <w:rsid w:val="005F700A"/>
    <w:rsid w:val="00614967"/>
    <w:rsid w:val="00617126"/>
    <w:rsid w:val="006177CB"/>
    <w:rsid w:val="00627B65"/>
    <w:rsid w:val="006302BD"/>
    <w:rsid w:val="006318B1"/>
    <w:rsid w:val="00632E40"/>
    <w:rsid w:val="00635461"/>
    <w:rsid w:val="00653338"/>
    <w:rsid w:val="00655EEE"/>
    <w:rsid w:val="0066040F"/>
    <w:rsid w:val="00666DF1"/>
    <w:rsid w:val="00673CFD"/>
    <w:rsid w:val="00684DAE"/>
    <w:rsid w:val="00691DDC"/>
    <w:rsid w:val="006A4E43"/>
    <w:rsid w:val="006A74AE"/>
    <w:rsid w:val="006B5AF3"/>
    <w:rsid w:val="006C39C0"/>
    <w:rsid w:val="006C64E7"/>
    <w:rsid w:val="006D719F"/>
    <w:rsid w:val="006E3ADC"/>
    <w:rsid w:val="006F38BE"/>
    <w:rsid w:val="00721FAA"/>
    <w:rsid w:val="00737AC1"/>
    <w:rsid w:val="00746065"/>
    <w:rsid w:val="00754FE6"/>
    <w:rsid w:val="00761CF2"/>
    <w:rsid w:val="00761EAA"/>
    <w:rsid w:val="007647F9"/>
    <w:rsid w:val="0076537E"/>
    <w:rsid w:val="00765622"/>
    <w:rsid w:val="00771F19"/>
    <w:rsid w:val="007722FF"/>
    <w:rsid w:val="007763C0"/>
    <w:rsid w:val="00787DA4"/>
    <w:rsid w:val="00790F9B"/>
    <w:rsid w:val="007A4A76"/>
    <w:rsid w:val="007B5189"/>
    <w:rsid w:val="007C2180"/>
    <w:rsid w:val="007C2F99"/>
    <w:rsid w:val="007C5982"/>
    <w:rsid w:val="007E7677"/>
    <w:rsid w:val="007E7BB3"/>
    <w:rsid w:val="007F0920"/>
    <w:rsid w:val="007F1EAE"/>
    <w:rsid w:val="007F56E4"/>
    <w:rsid w:val="0081596A"/>
    <w:rsid w:val="008203DC"/>
    <w:rsid w:val="00826501"/>
    <w:rsid w:val="00827DF6"/>
    <w:rsid w:val="00835DAD"/>
    <w:rsid w:val="00844BAD"/>
    <w:rsid w:val="00851CFC"/>
    <w:rsid w:val="00854C1E"/>
    <w:rsid w:val="008579C7"/>
    <w:rsid w:val="00862861"/>
    <w:rsid w:val="00864581"/>
    <w:rsid w:val="00864E11"/>
    <w:rsid w:val="00876247"/>
    <w:rsid w:val="0088083C"/>
    <w:rsid w:val="00880D2C"/>
    <w:rsid w:val="00886C49"/>
    <w:rsid w:val="008B408B"/>
    <w:rsid w:val="008C7E48"/>
    <w:rsid w:val="00901EA5"/>
    <w:rsid w:val="00906845"/>
    <w:rsid w:val="00910B50"/>
    <w:rsid w:val="0091498F"/>
    <w:rsid w:val="00917071"/>
    <w:rsid w:val="00922E9A"/>
    <w:rsid w:val="00923DBC"/>
    <w:rsid w:val="00937E78"/>
    <w:rsid w:val="00943540"/>
    <w:rsid w:val="009437A6"/>
    <w:rsid w:val="00952749"/>
    <w:rsid w:val="0095349A"/>
    <w:rsid w:val="00963096"/>
    <w:rsid w:val="00965F00"/>
    <w:rsid w:val="00966679"/>
    <w:rsid w:val="00967F9D"/>
    <w:rsid w:val="00974996"/>
    <w:rsid w:val="00976965"/>
    <w:rsid w:val="009A0A14"/>
    <w:rsid w:val="009A5230"/>
    <w:rsid w:val="009B04EB"/>
    <w:rsid w:val="009B5F42"/>
    <w:rsid w:val="009C17CA"/>
    <w:rsid w:val="009D04CA"/>
    <w:rsid w:val="009D4DAF"/>
    <w:rsid w:val="009D5858"/>
    <w:rsid w:val="009D75D2"/>
    <w:rsid w:val="009D7ACC"/>
    <w:rsid w:val="009F0D67"/>
    <w:rsid w:val="00A019A8"/>
    <w:rsid w:val="00A10DE9"/>
    <w:rsid w:val="00A1288D"/>
    <w:rsid w:val="00A13B98"/>
    <w:rsid w:val="00A14CD5"/>
    <w:rsid w:val="00A2049F"/>
    <w:rsid w:val="00A344A1"/>
    <w:rsid w:val="00A34F34"/>
    <w:rsid w:val="00A403EF"/>
    <w:rsid w:val="00A44F3D"/>
    <w:rsid w:val="00A47B87"/>
    <w:rsid w:val="00A563D8"/>
    <w:rsid w:val="00A6109C"/>
    <w:rsid w:val="00A63ECE"/>
    <w:rsid w:val="00A82D25"/>
    <w:rsid w:val="00A864CE"/>
    <w:rsid w:val="00A91A49"/>
    <w:rsid w:val="00A9276D"/>
    <w:rsid w:val="00AA5E09"/>
    <w:rsid w:val="00AB2821"/>
    <w:rsid w:val="00AC4162"/>
    <w:rsid w:val="00AC6646"/>
    <w:rsid w:val="00AD5AFA"/>
    <w:rsid w:val="00AE694F"/>
    <w:rsid w:val="00AF1874"/>
    <w:rsid w:val="00AF49AB"/>
    <w:rsid w:val="00AF518B"/>
    <w:rsid w:val="00AF5EE6"/>
    <w:rsid w:val="00B0669F"/>
    <w:rsid w:val="00B06E37"/>
    <w:rsid w:val="00B06E50"/>
    <w:rsid w:val="00B11F7E"/>
    <w:rsid w:val="00B14169"/>
    <w:rsid w:val="00B1485A"/>
    <w:rsid w:val="00B21D88"/>
    <w:rsid w:val="00B23C82"/>
    <w:rsid w:val="00B74A60"/>
    <w:rsid w:val="00B7547D"/>
    <w:rsid w:val="00B913CD"/>
    <w:rsid w:val="00B93655"/>
    <w:rsid w:val="00B93D16"/>
    <w:rsid w:val="00B95694"/>
    <w:rsid w:val="00B97DD8"/>
    <w:rsid w:val="00BA5EB3"/>
    <w:rsid w:val="00BA6157"/>
    <w:rsid w:val="00BB0023"/>
    <w:rsid w:val="00BB22C6"/>
    <w:rsid w:val="00BB3EA7"/>
    <w:rsid w:val="00BC0011"/>
    <w:rsid w:val="00BC2A28"/>
    <w:rsid w:val="00BC4516"/>
    <w:rsid w:val="00BC5190"/>
    <w:rsid w:val="00BC6C37"/>
    <w:rsid w:val="00BD3E90"/>
    <w:rsid w:val="00BE3B0A"/>
    <w:rsid w:val="00BE68DD"/>
    <w:rsid w:val="00BE7ADA"/>
    <w:rsid w:val="00BF0500"/>
    <w:rsid w:val="00BF6C5B"/>
    <w:rsid w:val="00C00F06"/>
    <w:rsid w:val="00C021B4"/>
    <w:rsid w:val="00C04E7B"/>
    <w:rsid w:val="00C06EF8"/>
    <w:rsid w:val="00C11C5A"/>
    <w:rsid w:val="00C12942"/>
    <w:rsid w:val="00C21F63"/>
    <w:rsid w:val="00C227AA"/>
    <w:rsid w:val="00C25DF9"/>
    <w:rsid w:val="00C34886"/>
    <w:rsid w:val="00C37949"/>
    <w:rsid w:val="00C41BDD"/>
    <w:rsid w:val="00C624D4"/>
    <w:rsid w:val="00C669FF"/>
    <w:rsid w:val="00C7430E"/>
    <w:rsid w:val="00C76CEE"/>
    <w:rsid w:val="00C76F18"/>
    <w:rsid w:val="00C819D5"/>
    <w:rsid w:val="00C83F4E"/>
    <w:rsid w:val="00C90165"/>
    <w:rsid w:val="00C96028"/>
    <w:rsid w:val="00C978CB"/>
    <w:rsid w:val="00C97AE8"/>
    <w:rsid w:val="00C97EA9"/>
    <w:rsid w:val="00CA32E6"/>
    <w:rsid w:val="00CC24A7"/>
    <w:rsid w:val="00CD19BA"/>
    <w:rsid w:val="00CD3DC6"/>
    <w:rsid w:val="00CE62AC"/>
    <w:rsid w:val="00CE643A"/>
    <w:rsid w:val="00CF6016"/>
    <w:rsid w:val="00D03FC6"/>
    <w:rsid w:val="00D043DB"/>
    <w:rsid w:val="00D1070A"/>
    <w:rsid w:val="00D2291C"/>
    <w:rsid w:val="00D234E0"/>
    <w:rsid w:val="00D32E4B"/>
    <w:rsid w:val="00D45515"/>
    <w:rsid w:val="00D5446F"/>
    <w:rsid w:val="00D54771"/>
    <w:rsid w:val="00D6076D"/>
    <w:rsid w:val="00D72B29"/>
    <w:rsid w:val="00D77369"/>
    <w:rsid w:val="00D77FC9"/>
    <w:rsid w:val="00D80D9A"/>
    <w:rsid w:val="00D84890"/>
    <w:rsid w:val="00D86A39"/>
    <w:rsid w:val="00D975BC"/>
    <w:rsid w:val="00DA5EBA"/>
    <w:rsid w:val="00DA6E5A"/>
    <w:rsid w:val="00DB00F2"/>
    <w:rsid w:val="00DC2C9C"/>
    <w:rsid w:val="00DC64EE"/>
    <w:rsid w:val="00DC72FB"/>
    <w:rsid w:val="00DD4931"/>
    <w:rsid w:val="00DF4037"/>
    <w:rsid w:val="00E103D8"/>
    <w:rsid w:val="00E103FA"/>
    <w:rsid w:val="00E113AB"/>
    <w:rsid w:val="00E165EB"/>
    <w:rsid w:val="00E25A01"/>
    <w:rsid w:val="00E32332"/>
    <w:rsid w:val="00E37B1F"/>
    <w:rsid w:val="00E461CA"/>
    <w:rsid w:val="00E46DFF"/>
    <w:rsid w:val="00E64A69"/>
    <w:rsid w:val="00E705C2"/>
    <w:rsid w:val="00E73D9B"/>
    <w:rsid w:val="00E85326"/>
    <w:rsid w:val="00E90C30"/>
    <w:rsid w:val="00E94E47"/>
    <w:rsid w:val="00EA2D70"/>
    <w:rsid w:val="00EA5D3A"/>
    <w:rsid w:val="00EA6550"/>
    <w:rsid w:val="00EA6649"/>
    <w:rsid w:val="00ED2BD7"/>
    <w:rsid w:val="00ED76F6"/>
    <w:rsid w:val="00EE4B51"/>
    <w:rsid w:val="00F00C8E"/>
    <w:rsid w:val="00F01294"/>
    <w:rsid w:val="00F02FDF"/>
    <w:rsid w:val="00F03FDB"/>
    <w:rsid w:val="00F11090"/>
    <w:rsid w:val="00F17B6B"/>
    <w:rsid w:val="00F21E95"/>
    <w:rsid w:val="00F25BE7"/>
    <w:rsid w:val="00F30FC8"/>
    <w:rsid w:val="00F3289D"/>
    <w:rsid w:val="00F36EFA"/>
    <w:rsid w:val="00F372EA"/>
    <w:rsid w:val="00F45579"/>
    <w:rsid w:val="00F52846"/>
    <w:rsid w:val="00F52F36"/>
    <w:rsid w:val="00F53463"/>
    <w:rsid w:val="00F53F76"/>
    <w:rsid w:val="00F56B90"/>
    <w:rsid w:val="00F63F3B"/>
    <w:rsid w:val="00F67181"/>
    <w:rsid w:val="00F67B6F"/>
    <w:rsid w:val="00F71864"/>
    <w:rsid w:val="00F72B67"/>
    <w:rsid w:val="00F73CA7"/>
    <w:rsid w:val="00F76A76"/>
    <w:rsid w:val="00F77B20"/>
    <w:rsid w:val="00F77CD2"/>
    <w:rsid w:val="00F83119"/>
    <w:rsid w:val="00F8759E"/>
    <w:rsid w:val="00F9373A"/>
    <w:rsid w:val="00F94AA4"/>
    <w:rsid w:val="00FA11E3"/>
    <w:rsid w:val="00FB2836"/>
    <w:rsid w:val="00FB34C7"/>
    <w:rsid w:val="00FB5D9A"/>
    <w:rsid w:val="00FB7077"/>
    <w:rsid w:val="00FC0B31"/>
    <w:rsid w:val="00FD0FF9"/>
    <w:rsid w:val="00FD43E4"/>
    <w:rsid w:val="00FD6AEB"/>
    <w:rsid w:val="00FE0343"/>
    <w:rsid w:val="00FE1276"/>
    <w:rsid w:val="00FE3460"/>
    <w:rsid w:val="00FE377C"/>
    <w:rsid w:val="00FF6C9A"/>
    <w:rsid w:val="00FF7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C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002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5E8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77C"/>
    <w:pPr>
      <w:ind w:left="720"/>
      <w:contextualSpacing/>
    </w:pPr>
  </w:style>
  <w:style w:type="paragraph" w:styleId="Header">
    <w:name w:val="header"/>
    <w:basedOn w:val="Normal"/>
    <w:link w:val="HeaderChar"/>
    <w:uiPriority w:val="99"/>
    <w:semiHidden/>
    <w:unhideWhenUsed/>
    <w:rsid w:val="00864581"/>
    <w:pPr>
      <w:tabs>
        <w:tab w:val="center" w:pos="4680"/>
        <w:tab w:val="right" w:pos="9360"/>
      </w:tabs>
    </w:pPr>
  </w:style>
  <w:style w:type="character" w:customStyle="1" w:styleId="HeaderChar">
    <w:name w:val="Header Char"/>
    <w:basedOn w:val="DefaultParagraphFont"/>
    <w:link w:val="Header"/>
    <w:uiPriority w:val="99"/>
    <w:semiHidden/>
    <w:rsid w:val="008645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581"/>
    <w:pPr>
      <w:tabs>
        <w:tab w:val="center" w:pos="4680"/>
        <w:tab w:val="right" w:pos="9360"/>
      </w:tabs>
    </w:pPr>
  </w:style>
  <w:style w:type="character" w:customStyle="1" w:styleId="FooterChar">
    <w:name w:val="Footer Char"/>
    <w:basedOn w:val="DefaultParagraphFont"/>
    <w:link w:val="Footer"/>
    <w:uiPriority w:val="99"/>
    <w:rsid w:val="0086458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1294"/>
    <w:rPr>
      <w:rFonts w:ascii="Tahoma" w:hAnsi="Tahoma" w:cs="Tahoma"/>
      <w:sz w:val="16"/>
      <w:szCs w:val="16"/>
    </w:rPr>
  </w:style>
  <w:style w:type="character" w:customStyle="1" w:styleId="BalloonTextChar">
    <w:name w:val="Balloon Text Char"/>
    <w:basedOn w:val="DefaultParagraphFont"/>
    <w:link w:val="BalloonText"/>
    <w:uiPriority w:val="99"/>
    <w:semiHidden/>
    <w:rsid w:val="00F01294"/>
    <w:rPr>
      <w:rFonts w:ascii="Tahoma" w:eastAsia="Times New Roman" w:hAnsi="Tahoma" w:cs="Tahoma"/>
      <w:sz w:val="16"/>
      <w:szCs w:val="16"/>
    </w:rPr>
  </w:style>
  <w:style w:type="character" w:styleId="Hyperlink">
    <w:name w:val="Hyperlink"/>
    <w:basedOn w:val="DefaultParagraphFont"/>
    <w:uiPriority w:val="99"/>
    <w:unhideWhenUsed/>
    <w:rsid w:val="00F01294"/>
    <w:rPr>
      <w:color w:val="0000FF" w:themeColor="hyperlink"/>
      <w:u w:val="single"/>
    </w:rPr>
  </w:style>
  <w:style w:type="character" w:customStyle="1" w:styleId="style51">
    <w:name w:val="style51"/>
    <w:basedOn w:val="DefaultParagraphFont"/>
    <w:rsid w:val="001B0A84"/>
  </w:style>
  <w:style w:type="paragraph" w:customStyle="1" w:styleId="xmsonormal">
    <w:name w:val="x_msonormal"/>
    <w:basedOn w:val="Normal"/>
    <w:rsid w:val="001B0A84"/>
    <w:pPr>
      <w:spacing w:beforeLines="1" w:afterLines="1"/>
    </w:pPr>
    <w:rPr>
      <w:rFonts w:ascii="Times" w:hAnsi="Times"/>
      <w:sz w:val="20"/>
      <w:szCs w:val="20"/>
    </w:rPr>
  </w:style>
  <w:style w:type="character" w:customStyle="1" w:styleId="Heading1Char">
    <w:name w:val="Heading 1 Char"/>
    <w:basedOn w:val="DefaultParagraphFont"/>
    <w:link w:val="Heading1"/>
    <w:uiPriority w:val="9"/>
    <w:rsid w:val="00BB0023"/>
    <w:rPr>
      <w:rFonts w:asciiTheme="majorHAnsi" w:eastAsiaTheme="majorEastAsia" w:hAnsiTheme="majorHAnsi" w:cstheme="majorBidi"/>
      <w:b/>
      <w:bCs/>
      <w:color w:val="365F91" w:themeColor="accent1" w:themeShade="BF"/>
      <w:sz w:val="28"/>
      <w:szCs w:val="28"/>
    </w:rPr>
  </w:style>
  <w:style w:type="table" w:customStyle="1" w:styleId="LightShading1">
    <w:name w:val="Light Shading1"/>
    <w:basedOn w:val="TableNormal"/>
    <w:uiPriority w:val="60"/>
    <w:rsid w:val="00BB002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ent">
    <w:name w:val="content"/>
    <w:basedOn w:val="Normal"/>
    <w:rsid w:val="00910B50"/>
    <w:pPr>
      <w:spacing w:before="100" w:beforeAutospacing="1" w:after="100" w:afterAutospacing="1"/>
    </w:pPr>
  </w:style>
  <w:style w:type="character" w:customStyle="1" w:styleId="Heading2Char">
    <w:name w:val="Heading 2 Char"/>
    <w:basedOn w:val="DefaultParagraphFont"/>
    <w:link w:val="Heading2"/>
    <w:uiPriority w:val="9"/>
    <w:rsid w:val="00435E88"/>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E68DD"/>
    <w:rPr>
      <w:color w:val="800080" w:themeColor="followedHyperlink"/>
      <w:u w:val="single"/>
    </w:rPr>
  </w:style>
  <w:style w:type="table" w:styleId="TableGrid">
    <w:name w:val="Table Grid"/>
    <w:basedOn w:val="TableNormal"/>
    <w:uiPriority w:val="59"/>
    <w:rsid w:val="00480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A22F2"/>
    <w:pPr>
      <w:spacing w:before="100" w:beforeAutospacing="1" w:after="100" w:afterAutospacing="1"/>
    </w:pPr>
    <w:rPr>
      <w:rFonts w:ascii="Verdana" w:eastAsiaTheme="minorHAnsi" w:hAnsi="Verdana"/>
      <w:color w:val="000000"/>
      <w:sz w:val="18"/>
      <w:szCs w:val="18"/>
    </w:rPr>
  </w:style>
  <w:style w:type="character" w:customStyle="1" w:styleId="textmedium1">
    <w:name w:val="textmedium1"/>
    <w:basedOn w:val="DefaultParagraphFont"/>
    <w:rsid w:val="005A22F2"/>
    <w:rPr>
      <w:rFonts w:ascii="Verdana" w:hAnsi="Verdana" w:hint="default"/>
      <w:color w:val="000000"/>
    </w:rPr>
  </w:style>
  <w:style w:type="paragraph" w:styleId="Revision">
    <w:name w:val="Revision"/>
    <w:hidden/>
    <w:uiPriority w:val="99"/>
    <w:semiHidden/>
    <w:rsid w:val="00C90165"/>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673CFD"/>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4296">
      <w:bodyDiv w:val="1"/>
      <w:marLeft w:val="0"/>
      <w:marRight w:val="0"/>
      <w:marTop w:val="0"/>
      <w:marBottom w:val="0"/>
      <w:divBdr>
        <w:top w:val="none" w:sz="0" w:space="0" w:color="auto"/>
        <w:left w:val="none" w:sz="0" w:space="0" w:color="auto"/>
        <w:bottom w:val="none" w:sz="0" w:space="0" w:color="auto"/>
        <w:right w:val="none" w:sz="0" w:space="0" w:color="auto"/>
      </w:divBdr>
    </w:div>
    <w:div w:id="133716252">
      <w:bodyDiv w:val="1"/>
      <w:marLeft w:val="0"/>
      <w:marRight w:val="0"/>
      <w:marTop w:val="0"/>
      <w:marBottom w:val="0"/>
      <w:divBdr>
        <w:top w:val="none" w:sz="0" w:space="0" w:color="auto"/>
        <w:left w:val="none" w:sz="0" w:space="0" w:color="auto"/>
        <w:bottom w:val="none" w:sz="0" w:space="0" w:color="auto"/>
        <w:right w:val="none" w:sz="0" w:space="0" w:color="auto"/>
      </w:divBdr>
    </w:div>
    <w:div w:id="205795902">
      <w:bodyDiv w:val="1"/>
      <w:marLeft w:val="0"/>
      <w:marRight w:val="0"/>
      <w:marTop w:val="0"/>
      <w:marBottom w:val="0"/>
      <w:divBdr>
        <w:top w:val="none" w:sz="0" w:space="0" w:color="auto"/>
        <w:left w:val="none" w:sz="0" w:space="0" w:color="auto"/>
        <w:bottom w:val="none" w:sz="0" w:space="0" w:color="auto"/>
        <w:right w:val="none" w:sz="0" w:space="0" w:color="auto"/>
      </w:divBdr>
    </w:div>
    <w:div w:id="221839638">
      <w:bodyDiv w:val="1"/>
      <w:marLeft w:val="0"/>
      <w:marRight w:val="0"/>
      <w:marTop w:val="0"/>
      <w:marBottom w:val="0"/>
      <w:divBdr>
        <w:top w:val="none" w:sz="0" w:space="0" w:color="auto"/>
        <w:left w:val="none" w:sz="0" w:space="0" w:color="auto"/>
        <w:bottom w:val="none" w:sz="0" w:space="0" w:color="auto"/>
        <w:right w:val="none" w:sz="0" w:space="0" w:color="auto"/>
      </w:divBdr>
    </w:div>
    <w:div w:id="277571000">
      <w:bodyDiv w:val="1"/>
      <w:marLeft w:val="0"/>
      <w:marRight w:val="0"/>
      <w:marTop w:val="0"/>
      <w:marBottom w:val="0"/>
      <w:divBdr>
        <w:top w:val="none" w:sz="0" w:space="0" w:color="auto"/>
        <w:left w:val="none" w:sz="0" w:space="0" w:color="auto"/>
        <w:bottom w:val="none" w:sz="0" w:space="0" w:color="auto"/>
        <w:right w:val="none" w:sz="0" w:space="0" w:color="auto"/>
      </w:divBdr>
    </w:div>
    <w:div w:id="343165876">
      <w:bodyDiv w:val="1"/>
      <w:marLeft w:val="0"/>
      <w:marRight w:val="0"/>
      <w:marTop w:val="0"/>
      <w:marBottom w:val="0"/>
      <w:divBdr>
        <w:top w:val="none" w:sz="0" w:space="0" w:color="auto"/>
        <w:left w:val="none" w:sz="0" w:space="0" w:color="auto"/>
        <w:bottom w:val="none" w:sz="0" w:space="0" w:color="auto"/>
        <w:right w:val="none" w:sz="0" w:space="0" w:color="auto"/>
      </w:divBdr>
    </w:div>
    <w:div w:id="436368120">
      <w:bodyDiv w:val="1"/>
      <w:marLeft w:val="0"/>
      <w:marRight w:val="0"/>
      <w:marTop w:val="0"/>
      <w:marBottom w:val="0"/>
      <w:divBdr>
        <w:top w:val="none" w:sz="0" w:space="0" w:color="auto"/>
        <w:left w:val="none" w:sz="0" w:space="0" w:color="auto"/>
        <w:bottom w:val="none" w:sz="0" w:space="0" w:color="auto"/>
        <w:right w:val="none" w:sz="0" w:space="0" w:color="auto"/>
      </w:divBdr>
    </w:div>
    <w:div w:id="453258440">
      <w:bodyDiv w:val="1"/>
      <w:marLeft w:val="0"/>
      <w:marRight w:val="0"/>
      <w:marTop w:val="0"/>
      <w:marBottom w:val="0"/>
      <w:divBdr>
        <w:top w:val="none" w:sz="0" w:space="0" w:color="auto"/>
        <w:left w:val="none" w:sz="0" w:space="0" w:color="auto"/>
        <w:bottom w:val="none" w:sz="0" w:space="0" w:color="auto"/>
        <w:right w:val="none" w:sz="0" w:space="0" w:color="auto"/>
      </w:divBdr>
    </w:div>
    <w:div w:id="469059421">
      <w:bodyDiv w:val="1"/>
      <w:marLeft w:val="0"/>
      <w:marRight w:val="0"/>
      <w:marTop w:val="0"/>
      <w:marBottom w:val="0"/>
      <w:divBdr>
        <w:top w:val="none" w:sz="0" w:space="0" w:color="auto"/>
        <w:left w:val="none" w:sz="0" w:space="0" w:color="auto"/>
        <w:bottom w:val="none" w:sz="0" w:space="0" w:color="auto"/>
        <w:right w:val="none" w:sz="0" w:space="0" w:color="auto"/>
      </w:divBdr>
    </w:div>
    <w:div w:id="714545161">
      <w:bodyDiv w:val="1"/>
      <w:marLeft w:val="0"/>
      <w:marRight w:val="0"/>
      <w:marTop w:val="0"/>
      <w:marBottom w:val="0"/>
      <w:divBdr>
        <w:top w:val="none" w:sz="0" w:space="0" w:color="auto"/>
        <w:left w:val="none" w:sz="0" w:space="0" w:color="auto"/>
        <w:bottom w:val="none" w:sz="0" w:space="0" w:color="auto"/>
        <w:right w:val="none" w:sz="0" w:space="0" w:color="auto"/>
      </w:divBdr>
    </w:div>
    <w:div w:id="790320856">
      <w:bodyDiv w:val="1"/>
      <w:marLeft w:val="0"/>
      <w:marRight w:val="0"/>
      <w:marTop w:val="0"/>
      <w:marBottom w:val="0"/>
      <w:divBdr>
        <w:top w:val="none" w:sz="0" w:space="0" w:color="auto"/>
        <w:left w:val="none" w:sz="0" w:space="0" w:color="auto"/>
        <w:bottom w:val="none" w:sz="0" w:space="0" w:color="auto"/>
        <w:right w:val="none" w:sz="0" w:space="0" w:color="auto"/>
      </w:divBdr>
    </w:div>
    <w:div w:id="871069555">
      <w:bodyDiv w:val="1"/>
      <w:marLeft w:val="0"/>
      <w:marRight w:val="0"/>
      <w:marTop w:val="0"/>
      <w:marBottom w:val="0"/>
      <w:divBdr>
        <w:top w:val="none" w:sz="0" w:space="0" w:color="auto"/>
        <w:left w:val="none" w:sz="0" w:space="0" w:color="auto"/>
        <w:bottom w:val="none" w:sz="0" w:space="0" w:color="auto"/>
        <w:right w:val="none" w:sz="0" w:space="0" w:color="auto"/>
      </w:divBdr>
    </w:div>
    <w:div w:id="1374621787">
      <w:bodyDiv w:val="1"/>
      <w:marLeft w:val="0"/>
      <w:marRight w:val="0"/>
      <w:marTop w:val="0"/>
      <w:marBottom w:val="0"/>
      <w:divBdr>
        <w:top w:val="none" w:sz="0" w:space="0" w:color="auto"/>
        <w:left w:val="none" w:sz="0" w:space="0" w:color="auto"/>
        <w:bottom w:val="none" w:sz="0" w:space="0" w:color="auto"/>
        <w:right w:val="none" w:sz="0" w:space="0" w:color="auto"/>
      </w:divBdr>
    </w:div>
    <w:div w:id="1527257312">
      <w:bodyDiv w:val="1"/>
      <w:marLeft w:val="0"/>
      <w:marRight w:val="0"/>
      <w:marTop w:val="0"/>
      <w:marBottom w:val="0"/>
      <w:divBdr>
        <w:top w:val="none" w:sz="0" w:space="0" w:color="auto"/>
        <w:left w:val="none" w:sz="0" w:space="0" w:color="auto"/>
        <w:bottom w:val="none" w:sz="0" w:space="0" w:color="auto"/>
        <w:right w:val="none" w:sz="0" w:space="0" w:color="auto"/>
      </w:divBdr>
    </w:div>
    <w:div w:id="15457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Strong.vermon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dlc_DocId xmlns="b0572314-4400-4c30-b6be-af21dc0ec631">YSSN3WUNHHSM-1853450080-10</_dlc_DocId>
    <_dlc_DocIdUrl xmlns="b0572314-4400-4c30-b6be-af21dc0ec631">
      <Url>https://outside.vermont.gov/agency/ACCD/_layouts/15/DocIdRedir.aspx?ID=YSSN3WUNHHSM-1853450080-10</Url>
      <Description>YSSN3WUNHHSM-1853450080-10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3B79914B652640B07F96E9500805EE" ma:contentTypeVersion="11" ma:contentTypeDescription="Create a new document." ma:contentTypeScope="" ma:versionID="0f10abfc9a50c9e228ce11553f9e8322">
  <xsd:schema xmlns:xsd="http://www.w3.org/2001/XMLSchema" xmlns:xs="http://www.w3.org/2001/XMLSchema" xmlns:p="http://schemas.microsoft.com/office/2006/metadata/properties" xmlns:ns2="b0572314-4400-4c30-b6be-af21dc0ec631" targetNamespace="http://schemas.microsoft.com/office/2006/metadata/properties" ma:root="true" ma:fieldsID="d0135e7e87a424e33267d348a752f77d" ns2:_="">
    <xsd:import namespace="b0572314-4400-4c30-b6be-af21dc0ec63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2314-4400-4c30-b6be-af21dc0ec63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2C445F-2266-49D0-A522-62ABDA1C2EF9}"/>
</file>

<file path=customXml/itemProps2.xml><?xml version="1.0" encoding="utf-8"?>
<ds:datastoreItem xmlns:ds="http://schemas.openxmlformats.org/officeDocument/2006/customXml" ds:itemID="{A9732C5C-9D8A-4B9E-A6D8-D1AE662C6B79}"/>
</file>

<file path=customXml/itemProps3.xml><?xml version="1.0" encoding="utf-8"?>
<ds:datastoreItem xmlns:ds="http://schemas.openxmlformats.org/officeDocument/2006/customXml" ds:itemID="{BAAA7736-E461-4EE1-AA94-FCEE67E5A30D}"/>
</file>

<file path=customXml/itemProps4.xml><?xml version="1.0" encoding="utf-8"?>
<ds:datastoreItem xmlns:ds="http://schemas.openxmlformats.org/officeDocument/2006/customXml" ds:itemID="{9C46AD2A-80DA-4AAC-9A65-EFE24E5A0E8E}"/>
</file>

<file path=customXml/itemProps5.xml><?xml version="1.0" encoding="utf-8"?>
<ds:datastoreItem xmlns:ds="http://schemas.openxmlformats.org/officeDocument/2006/customXml" ds:itemID="{43400B00-093A-4CEF-A548-B0E0FE916F5F}"/>
</file>

<file path=docProps/app.xml><?xml version="1.0" encoding="utf-8"?>
<Properties xmlns="http://schemas.openxmlformats.org/officeDocument/2006/extended-properties" xmlns:vt="http://schemas.openxmlformats.org/officeDocument/2006/docPropsVTypes">
  <Template>Normal.dotm</Template>
  <TotalTime>270</TotalTime>
  <Pages>1</Pages>
  <Words>9354</Words>
  <Characters>53319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FY 2013 Budget DEHCD Strategic Overview</vt:lpstr>
    </vt:vector>
  </TitlesOfParts>
  <Company>ACCD</Company>
  <LinksUpToDate>false</LinksUpToDate>
  <CharactersWithSpaces>62548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2013 Budget DEHCD Strategic Overview</dc:title>
  <dc:creator>noelle.mackay</dc:creator>
  <cp:lastModifiedBy>kitty.sweet</cp:lastModifiedBy>
  <cp:revision>22</cp:revision>
  <cp:lastPrinted>2012-01-24T12:15:00Z</cp:lastPrinted>
  <dcterms:created xsi:type="dcterms:W3CDTF">2012-01-25T17:02:00Z</dcterms:created>
  <dcterms:modified xsi:type="dcterms:W3CDTF">2012-01-30T19:15:00Z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0x010100E53B79914B652640B07F96E9500805EE</vt:lpwstr>
  </property>
  <property fmtid="{D5CDD505-2E9C-101B-9397-08002B2CF9AE}" pid="3" name="Category">
    <vt:lpwstr>Policy</vt:lpwstr>
  </property>
  <property fmtid="{D5CDD505-2E9C-101B-9397-08002B2CF9AE}" pid="4" name="_dlc_DocIdItemGuid">
    <vt:lpwstr>8ab58553-45f6-4522-99e9-c881cdd64dd3</vt:lpwstr>
  </property>
</Properties>
</file>