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C2FE4" w14:textId="77777777" w:rsidR="00AB6785" w:rsidRDefault="00923657" w:rsidP="00F95F3F">
      <w:pPr>
        <w:pStyle w:val="Title"/>
        <w:jc w:val="center"/>
        <w:rPr>
          <w:rStyle w:val="Bold"/>
        </w:rPr>
      </w:pPr>
      <w:bookmarkStart w:id="0" w:name="_Toc160714205"/>
      <w:r>
        <w:rPr>
          <w:rStyle w:val="Bold"/>
        </w:rPr>
        <w:t>24 CFR Part 58 Environmental Review Process Memo</w:t>
      </w:r>
    </w:p>
    <w:p w14:paraId="4BF0A204" w14:textId="130937F4" w:rsidR="00F95F3F" w:rsidRPr="000F766C" w:rsidRDefault="00F95F3F" w:rsidP="000F766C">
      <w:pPr>
        <w:pStyle w:val="Title"/>
        <w:jc w:val="center"/>
        <w:rPr>
          <w:sz w:val="36"/>
          <w:szCs w:val="36"/>
        </w:rPr>
      </w:pPr>
      <w:r w:rsidRPr="000F766C">
        <w:rPr>
          <w:sz w:val="36"/>
          <w:szCs w:val="36"/>
        </w:rPr>
        <w:t>Vermont Community Development Program (VCDP)</w:t>
      </w:r>
      <w:r w:rsidRPr="000F766C">
        <w:rPr>
          <w:sz w:val="36"/>
          <w:szCs w:val="36"/>
        </w:rPr>
        <w:br/>
      </w:r>
      <w:r w:rsidRPr="000F766C">
        <w:rPr>
          <w:rStyle w:val="Bold"/>
          <w:b w:val="0"/>
          <w:bCs w:val="0"/>
          <w:sz w:val="36"/>
          <w:szCs w:val="36"/>
        </w:rPr>
        <w:t>U.S. Department of Housing and Urban Development</w:t>
      </w:r>
    </w:p>
    <w:p w14:paraId="62B611D2" w14:textId="758BFB6F" w:rsidR="00923657" w:rsidRDefault="00923657" w:rsidP="00A82736">
      <w:r w:rsidRPr="00923657">
        <w:t xml:space="preserve">This memo provides general guidance in preparing an Environmental Review (ER) </w:t>
      </w:r>
      <w:r w:rsidR="00CF4138">
        <w:t xml:space="preserve">compliant with </w:t>
      </w:r>
      <w:r w:rsidR="00CF4138" w:rsidRPr="00B02648">
        <w:rPr>
          <w:color w:val="auto"/>
        </w:rPr>
        <w:t>24 CFR Part 58</w:t>
      </w:r>
      <w:r w:rsidRPr="00923657">
        <w:t>. However, projects and their impacts are evaluated on a case-by-case basis. For ER questions or concerns, please contact t</w:t>
      </w:r>
      <w:r w:rsidRPr="00BE1838">
        <w:t>he Environmental Officer</w:t>
      </w:r>
      <w:r w:rsidRPr="00923657">
        <w:t>.</w:t>
      </w:r>
    </w:p>
    <w:p w14:paraId="66521A40" w14:textId="77777777" w:rsidR="007B534D" w:rsidRDefault="007B534D" w:rsidP="00A82736"/>
    <w:p w14:paraId="4999A342" w14:textId="77777777" w:rsidR="003E3445" w:rsidRDefault="003E3445" w:rsidP="00A82736"/>
    <w:p w14:paraId="20126AFF" w14:textId="77777777" w:rsidR="003E3445" w:rsidRDefault="003E3445" w:rsidP="00A82736"/>
    <w:p w14:paraId="58AB5AC3" w14:textId="77777777" w:rsidR="003E3445" w:rsidRDefault="003E3445" w:rsidP="00A82736"/>
    <w:p w14:paraId="63B9EF38" w14:textId="77777777" w:rsidR="003E3445" w:rsidRDefault="003E3445" w:rsidP="00A82736"/>
    <w:p w14:paraId="7A7DBC7A" w14:textId="77777777" w:rsidR="003E3445" w:rsidRDefault="003E3445" w:rsidP="00A82736"/>
    <w:p w14:paraId="7DD696E0" w14:textId="77777777" w:rsidR="00C40AA1" w:rsidRDefault="00C40AA1" w:rsidP="00A83A68">
      <w:pPr>
        <w:pStyle w:val="Subsection"/>
      </w:pPr>
      <w:r>
        <w:t>Contact Information</w:t>
      </w:r>
      <w:bookmarkEnd w:id="0"/>
    </w:p>
    <w:p w14:paraId="2C671DAA" w14:textId="77777777" w:rsidR="00C40AA1" w:rsidRPr="000F766C" w:rsidRDefault="00C40AA1" w:rsidP="00C40AA1">
      <w:pPr>
        <w:rPr>
          <w:rStyle w:val="Bold"/>
          <w:b w:val="0"/>
          <w:bCs w:val="0"/>
        </w:rPr>
      </w:pPr>
      <w:r w:rsidRPr="000F766C">
        <w:rPr>
          <w:rStyle w:val="Bold"/>
          <w:b w:val="0"/>
          <w:bCs w:val="0"/>
        </w:rPr>
        <w:t>To receive this information in an alternative format or for other accessibility requests, please contact:</w:t>
      </w:r>
    </w:p>
    <w:p w14:paraId="0AE9DA34" w14:textId="77777777" w:rsidR="00923657" w:rsidRDefault="00923657" w:rsidP="00C40AA1">
      <w:pPr>
        <w:pStyle w:val="Normal-NoSpaceAfter"/>
      </w:pPr>
      <w:r>
        <w:t>Grace Vinson, Environmental Officer</w:t>
      </w:r>
    </w:p>
    <w:p w14:paraId="4864AF64" w14:textId="77777777" w:rsidR="00923657" w:rsidRDefault="00923657" w:rsidP="00C40AA1">
      <w:pPr>
        <w:pStyle w:val="Normal-NoSpaceAfter"/>
      </w:pPr>
      <w:r>
        <w:t xml:space="preserve">Agency of Commerce and Community Development </w:t>
      </w:r>
    </w:p>
    <w:p w14:paraId="59A97980" w14:textId="77777777" w:rsidR="00C40AA1" w:rsidRDefault="00923657" w:rsidP="00923657">
      <w:pPr>
        <w:pStyle w:val="Normal-NoSpaceAfter"/>
      </w:pPr>
      <w:hyperlink r:id="rId11" w:history="1">
        <w:r w:rsidRPr="007E3294">
          <w:rPr>
            <w:rStyle w:val="Hyperlink"/>
          </w:rPr>
          <w:t>Grace.vinson@vermont.gov</w:t>
        </w:r>
      </w:hyperlink>
      <w:r>
        <w:t xml:space="preserve">, 802-622-4236 </w:t>
      </w:r>
    </w:p>
    <w:p w14:paraId="55A70C19" w14:textId="77777777" w:rsidR="00DB77B4" w:rsidRDefault="00DB77B4" w:rsidP="003D463B"/>
    <w:p w14:paraId="04880ACE" w14:textId="77777777" w:rsidR="00D3085E" w:rsidRDefault="00D3085E" w:rsidP="003D463B">
      <w:pPr>
        <w:sectPr w:rsidR="00D3085E" w:rsidSect="00790544">
          <w:headerReference w:type="default" r:id="rId12"/>
          <w:footerReference w:type="default" r:id="rId13"/>
          <w:headerReference w:type="first" r:id="rId14"/>
          <w:footerReference w:type="first" r:id="rId15"/>
          <w:type w:val="continuous"/>
          <w:pgSz w:w="12240" w:h="15840"/>
          <w:pgMar w:top="1440" w:right="1440" w:bottom="1440" w:left="1440" w:header="720" w:footer="720" w:gutter="0"/>
          <w:cols w:space="360"/>
          <w:docGrid w:linePitch="360"/>
        </w:sectPr>
      </w:pPr>
    </w:p>
    <w:p w14:paraId="21863E12" w14:textId="79D9F275" w:rsidR="001D5F4F" w:rsidRDefault="001D5F4F" w:rsidP="001D5F4F">
      <w:pPr>
        <w:pStyle w:val="Heading2"/>
      </w:pPr>
      <w:bookmarkStart w:id="1" w:name="_Toc114131394"/>
      <w:r>
        <w:lastRenderedPageBreak/>
        <w:t>Table of Contents</w:t>
      </w:r>
    </w:p>
    <w:p w14:paraId="34D86DB4" w14:textId="4DD2C8BF" w:rsidR="001D5F4F" w:rsidRPr="000F766C" w:rsidRDefault="001D5F4F" w:rsidP="001D5F4F">
      <w:pPr>
        <w:pStyle w:val="Heading2"/>
        <w:rPr>
          <w:sz w:val="32"/>
          <w:szCs w:val="32"/>
        </w:rPr>
      </w:pPr>
      <w:r w:rsidRPr="000F766C">
        <w:rPr>
          <w:sz w:val="32"/>
          <w:szCs w:val="32"/>
        </w:rPr>
        <w:t xml:space="preserve">Background Information </w:t>
      </w:r>
      <w:r w:rsidRPr="007B534D">
        <w:rPr>
          <w:sz w:val="32"/>
          <w:szCs w:val="32"/>
        </w:rPr>
        <w:t>…………………………………………</w:t>
      </w:r>
      <w:r w:rsidR="007B534D" w:rsidRPr="007B534D">
        <w:rPr>
          <w:sz w:val="32"/>
          <w:szCs w:val="32"/>
        </w:rPr>
        <w:t>.</w:t>
      </w:r>
      <w:r w:rsidRPr="007B534D">
        <w:rPr>
          <w:sz w:val="32"/>
          <w:szCs w:val="32"/>
        </w:rPr>
        <w:t xml:space="preserve"> 3</w:t>
      </w:r>
    </w:p>
    <w:p w14:paraId="51D18ACF" w14:textId="1CC94D8B" w:rsidR="001D5F4F" w:rsidRPr="000F766C" w:rsidRDefault="001D5F4F" w:rsidP="001D5F4F">
      <w:pPr>
        <w:pStyle w:val="Heading2"/>
        <w:rPr>
          <w:sz w:val="32"/>
          <w:szCs w:val="32"/>
        </w:rPr>
      </w:pPr>
      <w:r w:rsidRPr="000F766C">
        <w:rPr>
          <w:sz w:val="32"/>
          <w:szCs w:val="32"/>
        </w:rPr>
        <w:t>Environmental Review and the VCDP Application Process</w:t>
      </w:r>
      <w:r w:rsidRPr="007B534D">
        <w:rPr>
          <w:sz w:val="32"/>
          <w:szCs w:val="32"/>
        </w:rPr>
        <w:t xml:space="preserve"> …</w:t>
      </w:r>
      <w:r w:rsidR="007B534D" w:rsidRPr="007B534D">
        <w:rPr>
          <w:sz w:val="32"/>
          <w:szCs w:val="32"/>
        </w:rPr>
        <w:t>.</w:t>
      </w:r>
      <w:r w:rsidRPr="007B534D">
        <w:rPr>
          <w:sz w:val="32"/>
          <w:szCs w:val="32"/>
        </w:rPr>
        <w:t xml:space="preserve"> 3</w:t>
      </w:r>
    </w:p>
    <w:p w14:paraId="62C9BBD5" w14:textId="5CFB30C7" w:rsidR="001D5F4F" w:rsidRPr="000F766C" w:rsidRDefault="001D5F4F" w:rsidP="001D5F4F">
      <w:pPr>
        <w:pStyle w:val="Heading2"/>
        <w:rPr>
          <w:sz w:val="32"/>
          <w:szCs w:val="32"/>
        </w:rPr>
      </w:pPr>
      <w:r w:rsidRPr="000F766C">
        <w:rPr>
          <w:sz w:val="32"/>
          <w:szCs w:val="32"/>
        </w:rPr>
        <w:t>Environmental Review Record</w:t>
      </w:r>
      <w:r w:rsidRPr="007B534D">
        <w:rPr>
          <w:sz w:val="32"/>
          <w:szCs w:val="32"/>
        </w:rPr>
        <w:t xml:space="preserve"> ………………………………</w:t>
      </w:r>
      <w:proofErr w:type="gramStart"/>
      <w:r w:rsidRPr="007B534D">
        <w:rPr>
          <w:sz w:val="32"/>
          <w:szCs w:val="32"/>
        </w:rPr>
        <w:t>…..</w:t>
      </w:r>
      <w:proofErr w:type="gramEnd"/>
      <w:r w:rsidRPr="007B534D">
        <w:rPr>
          <w:sz w:val="32"/>
          <w:szCs w:val="32"/>
        </w:rPr>
        <w:t xml:space="preserve"> 3</w:t>
      </w:r>
    </w:p>
    <w:p w14:paraId="1021E64A" w14:textId="36E42967" w:rsidR="001D5F4F" w:rsidRPr="000F766C" w:rsidRDefault="001D5F4F" w:rsidP="001D5F4F">
      <w:pPr>
        <w:pStyle w:val="Heading4"/>
        <w:ind w:left="0"/>
        <w:rPr>
          <w:b w:val="0"/>
          <w:szCs w:val="32"/>
        </w:rPr>
      </w:pPr>
      <w:r w:rsidRPr="000F766C">
        <w:rPr>
          <w:b w:val="0"/>
          <w:szCs w:val="32"/>
        </w:rPr>
        <w:t xml:space="preserve">Compliance Checklist </w:t>
      </w:r>
      <w:r w:rsidR="007B534D" w:rsidRPr="007B534D">
        <w:rPr>
          <w:b w:val="0"/>
          <w:szCs w:val="32"/>
        </w:rPr>
        <w:t>…………………………………………</w:t>
      </w:r>
      <w:proofErr w:type="gramStart"/>
      <w:r w:rsidR="007B534D" w:rsidRPr="007B534D">
        <w:rPr>
          <w:b w:val="0"/>
          <w:szCs w:val="32"/>
        </w:rPr>
        <w:t>…..</w:t>
      </w:r>
      <w:proofErr w:type="gramEnd"/>
      <w:r w:rsidR="007B534D" w:rsidRPr="007B534D">
        <w:rPr>
          <w:b w:val="0"/>
          <w:szCs w:val="32"/>
        </w:rPr>
        <w:t xml:space="preserve"> 4</w:t>
      </w:r>
    </w:p>
    <w:p w14:paraId="16A59AEB" w14:textId="74B2E6BB" w:rsidR="001D5F4F" w:rsidRPr="000F766C" w:rsidRDefault="001D5F4F" w:rsidP="001D5F4F">
      <w:pPr>
        <w:pStyle w:val="Heading4"/>
        <w:ind w:left="0"/>
        <w:rPr>
          <w:b w:val="0"/>
          <w:szCs w:val="32"/>
        </w:rPr>
      </w:pPr>
      <w:r w:rsidRPr="000F766C">
        <w:rPr>
          <w:b w:val="0"/>
          <w:szCs w:val="32"/>
        </w:rPr>
        <w:t>Supporting Documentation</w:t>
      </w:r>
      <w:r w:rsidR="007B534D" w:rsidRPr="007B534D">
        <w:rPr>
          <w:b w:val="0"/>
          <w:szCs w:val="32"/>
        </w:rPr>
        <w:t xml:space="preserve"> ………………………………………  4</w:t>
      </w:r>
    </w:p>
    <w:p w14:paraId="2AD3E00C" w14:textId="6FD52CFE" w:rsidR="001D5F4F" w:rsidRPr="007B534D" w:rsidRDefault="001D5F4F" w:rsidP="001D5F4F">
      <w:pPr>
        <w:pStyle w:val="Heading2"/>
        <w:rPr>
          <w:sz w:val="32"/>
          <w:szCs w:val="32"/>
        </w:rPr>
      </w:pPr>
      <w:r w:rsidRPr="000F766C">
        <w:rPr>
          <w:sz w:val="32"/>
          <w:szCs w:val="32"/>
        </w:rPr>
        <w:t xml:space="preserve">Choice Limiting Activities </w:t>
      </w:r>
      <w:r w:rsidR="007B534D" w:rsidRPr="007B534D">
        <w:rPr>
          <w:sz w:val="32"/>
          <w:szCs w:val="32"/>
        </w:rPr>
        <w:t>……………………………………….... 4</w:t>
      </w:r>
    </w:p>
    <w:p w14:paraId="10A39D28" w14:textId="791BF097" w:rsidR="007B534D" w:rsidRPr="000F766C" w:rsidRDefault="007B534D" w:rsidP="007B534D">
      <w:pPr>
        <w:pStyle w:val="NormalLARGE"/>
        <w:spacing w:after="0" w:line="240" w:lineRule="auto"/>
      </w:pPr>
      <w:r w:rsidRPr="000F766C">
        <w:t>Planning Activities</w:t>
      </w:r>
      <w:r w:rsidRPr="007B534D">
        <w:t xml:space="preserve"> ……………………………………………...…. 5</w:t>
      </w:r>
    </w:p>
    <w:p w14:paraId="01820848" w14:textId="77777777" w:rsidR="007B534D" w:rsidRPr="007B534D" w:rsidRDefault="007B534D" w:rsidP="000F766C">
      <w:pPr>
        <w:pStyle w:val="NormalLARGE"/>
        <w:spacing w:after="0" w:line="240" w:lineRule="auto"/>
      </w:pPr>
    </w:p>
    <w:p w14:paraId="6941A702" w14:textId="158CE974" w:rsidR="007B534D" w:rsidRPr="007B534D" w:rsidRDefault="007B534D" w:rsidP="000F766C">
      <w:pPr>
        <w:pStyle w:val="NormalLARGE"/>
        <w:spacing w:after="0" w:line="240" w:lineRule="auto"/>
      </w:pPr>
      <w:r w:rsidRPr="000F766C">
        <w:t>Non-Planning Activities</w:t>
      </w:r>
      <w:r w:rsidRPr="007B534D">
        <w:t xml:space="preserve"> ………………………………………….... 5</w:t>
      </w:r>
    </w:p>
    <w:p w14:paraId="142835AB" w14:textId="0B200831" w:rsidR="001D5F4F" w:rsidRPr="000F766C" w:rsidRDefault="001D5F4F" w:rsidP="001D5F4F">
      <w:pPr>
        <w:pStyle w:val="Heading2"/>
        <w:rPr>
          <w:sz w:val="32"/>
          <w:szCs w:val="32"/>
        </w:rPr>
      </w:pPr>
      <w:r w:rsidRPr="000F766C">
        <w:rPr>
          <w:sz w:val="32"/>
          <w:szCs w:val="32"/>
        </w:rPr>
        <w:t>Levels of Environmental Review</w:t>
      </w:r>
      <w:r w:rsidR="007B534D" w:rsidRPr="007B534D">
        <w:rPr>
          <w:sz w:val="32"/>
          <w:szCs w:val="32"/>
        </w:rPr>
        <w:t xml:space="preserve"> ………………………………… 5</w:t>
      </w:r>
    </w:p>
    <w:p w14:paraId="55166434" w14:textId="05EF882E" w:rsidR="001D5F4F" w:rsidRPr="000F766C" w:rsidRDefault="001D5F4F" w:rsidP="001D5F4F">
      <w:pPr>
        <w:pStyle w:val="Heading4"/>
        <w:ind w:left="0"/>
        <w:rPr>
          <w:b w:val="0"/>
          <w:szCs w:val="32"/>
        </w:rPr>
      </w:pPr>
      <w:r w:rsidRPr="000F766C">
        <w:rPr>
          <w:b w:val="0"/>
          <w:szCs w:val="32"/>
        </w:rPr>
        <w:t xml:space="preserve">Convert to Exempt </w:t>
      </w:r>
      <w:r w:rsidR="007B534D" w:rsidRPr="007B534D">
        <w:rPr>
          <w:b w:val="0"/>
          <w:szCs w:val="32"/>
        </w:rPr>
        <w:t>………………………………………………… 6</w:t>
      </w:r>
    </w:p>
    <w:p w14:paraId="6C4F5919" w14:textId="34F3288F" w:rsidR="001D5F4F" w:rsidRPr="000F766C" w:rsidRDefault="001D5F4F" w:rsidP="001D5F4F">
      <w:pPr>
        <w:pStyle w:val="Heading4"/>
        <w:ind w:left="0"/>
        <w:rPr>
          <w:b w:val="0"/>
          <w:szCs w:val="32"/>
        </w:rPr>
      </w:pPr>
      <w:r w:rsidRPr="000F766C">
        <w:rPr>
          <w:b w:val="0"/>
          <w:szCs w:val="32"/>
        </w:rPr>
        <w:t>Tiered Environmental Reviews</w:t>
      </w:r>
      <w:r w:rsidR="007B534D" w:rsidRPr="007B534D">
        <w:rPr>
          <w:b w:val="0"/>
          <w:szCs w:val="32"/>
        </w:rPr>
        <w:t xml:space="preserve"> …………………………………... 6</w:t>
      </w:r>
    </w:p>
    <w:p w14:paraId="787BDC03" w14:textId="6015E44C" w:rsidR="001D5F4F" w:rsidRPr="000F766C" w:rsidRDefault="001D5F4F" w:rsidP="001D5F4F">
      <w:pPr>
        <w:pStyle w:val="Heading2"/>
        <w:rPr>
          <w:sz w:val="32"/>
          <w:szCs w:val="32"/>
        </w:rPr>
      </w:pPr>
      <w:r w:rsidRPr="000F766C">
        <w:rPr>
          <w:sz w:val="32"/>
          <w:szCs w:val="32"/>
        </w:rPr>
        <w:t>GEARS Process and Status Changes</w:t>
      </w:r>
      <w:r w:rsidR="007B534D" w:rsidRPr="007B534D">
        <w:rPr>
          <w:sz w:val="32"/>
          <w:szCs w:val="32"/>
        </w:rPr>
        <w:t xml:space="preserve"> ………………………</w:t>
      </w:r>
      <w:proofErr w:type="gramStart"/>
      <w:r w:rsidR="007B534D" w:rsidRPr="007B534D">
        <w:rPr>
          <w:sz w:val="32"/>
          <w:szCs w:val="32"/>
        </w:rPr>
        <w:t>…..</w:t>
      </w:r>
      <w:proofErr w:type="gramEnd"/>
      <w:r w:rsidR="007B534D" w:rsidRPr="007B534D">
        <w:rPr>
          <w:sz w:val="32"/>
          <w:szCs w:val="32"/>
        </w:rPr>
        <w:t xml:space="preserve"> 7</w:t>
      </w:r>
    </w:p>
    <w:p w14:paraId="5E640542" w14:textId="61CB4B6D" w:rsidR="001D5F4F" w:rsidRPr="000F766C" w:rsidRDefault="001D5F4F" w:rsidP="001D5F4F">
      <w:pPr>
        <w:pStyle w:val="Heading2"/>
        <w:rPr>
          <w:sz w:val="32"/>
          <w:szCs w:val="32"/>
        </w:rPr>
      </w:pPr>
      <w:r w:rsidRPr="000F766C">
        <w:rPr>
          <w:sz w:val="32"/>
          <w:szCs w:val="32"/>
        </w:rPr>
        <w:t>Public Notice and Comment Period Information</w:t>
      </w:r>
      <w:r w:rsidR="007B534D" w:rsidRPr="007B534D">
        <w:rPr>
          <w:sz w:val="32"/>
          <w:szCs w:val="32"/>
        </w:rPr>
        <w:t xml:space="preserve"> ……………</w:t>
      </w:r>
      <w:proofErr w:type="gramStart"/>
      <w:r w:rsidR="007B534D" w:rsidRPr="007B534D">
        <w:rPr>
          <w:sz w:val="32"/>
          <w:szCs w:val="32"/>
        </w:rPr>
        <w:t>…..</w:t>
      </w:r>
      <w:proofErr w:type="gramEnd"/>
      <w:r w:rsidR="007B534D" w:rsidRPr="007B534D">
        <w:rPr>
          <w:sz w:val="32"/>
          <w:szCs w:val="32"/>
        </w:rPr>
        <w:t xml:space="preserve"> 8</w:t>
      </w:r>
    </w:p>
    <w:p w14:paraId="386FCB14" w14:textId="7A8E006D" w:rsidR="001D5F4F" w:rsidRPr="000F766C" w:rsidRDefault="001D5F4F" w:rsidP="001D5F4F">
      <w:pPr>
        <w:pStyle w:val="Heading2"/>
        <w:rPr>
          <w:sz w:val="32"/>
          <w:szCs w:val="32"/>
        </w:rPr>
      </w:pPr>
      <w:r w:rsidRPr="000F766C">
        <w:rPr>
          <w:sz w:val="32"/>
          <w:szCs w:val="32"/>
        </w:rPr>
        <w:t>ER Release Letter</w:t>
      </w:r>
      <w:r w:rsidR="007B534D" w:rsidRPr="007B534D">
        <w:rPr>
          <w:sz w:val="32"/>
          <w:szCs w:val="32"/>
        </w:rPr>
        <w:t xml:space="preserve"> </w:t>
      </w:r>
      <w:r w:rsidR="009077B0">
        <w:rPr>
          <w:sz w:val="32"/>
          <w:szCs w:val="32"/>
        </w:rPr>
        <w:t>and Conditions</w:t>
      </w:r>
      <w:r w:rsidR="007B534D" w:rsidRPr="007B534D">
        <w:rPr>
          <w:sz w:val="32"/>
          <w:szCs w:val="32"/>
        </w:rPr>
        <w:t>……………………</w:t>
      </w:r>
      <w:r w:rsidR="009077B0">
        <w:rPr>
          <w:sz w:val="32"/>
          <w:szCs w:val="32"/>
        </w:rPr>
        <w:t>.</w:t>
      </w:r>
      <w:r w:rsidR="007B534D" w:rsidRPr="007B534D">
        <w:rPr>
          <w:sz w:val="32"/>
          <w:szCs w:val="32"/>
        </w:rPr>
        <w:t>……….… 9</w:t>
      </w:r>
    </w:p>
    <w:p w14:paraId="3BAA4727" w14:textId="417E7A79" w:rsidR="001D5F4F" w:rsidRPr="001D5F4F" w:rsidRDefault="001D5F4F" w:rsidP="000F766C"/>
    <w:p w14:paraId="7554B202" w14:textId="77777777" w:rsidR="001D5F4F" w:rsidRDefault="001D5F4F" w:rsidP="00CF7D30">
      <w:pPr>
        <w:pStyle w:val="Heading2"/>
      </w:pPr>
    </w:p>
    <w:p w14:paraId="7A076723" w14:textId="77777777" w:rsidR="001D5F4F" w:rsidRDefault="001D5F4F" w:rsidP="00CF7D30">
      <w:pPr>
        <w:pStyle w:val="Heading2"/>
      </w:pPr>
    </w:p>
    <w:p w14:paraId="2B39303A" w14:textId="77777777" w:rsidR="001D5F4F" w:rsidRPr="001D5F4F" w:rsidRDefault="001D5F4F" w:rsidP="000F766C"/>
    <w:p w14:paraId="6C1D72BD" w14:textId="345A77B5" w:rsidR="00484AC4" w:rsidRPr="006F0245" w:rsidRDefault="00923657" w:rsidP="00CF7D30">
      <w:pPr>
        <w:pStyle w:val="Heading2"/>
      </w:pPr>
      <w:r>
        <w:lastRenderedPageBreak/>
        <w:t xml:space="preserve">Background Information </w:t>
      </w:r>
    </w:p>
    <w:p w14:paraId="40C7ACE7" w14:textId="5DF561FD" w:rsidR="00923657" w:rsidRPr="00B02648" w:rsidRDefault="00923657" w:rsidP="007D5FF6">
      <w:pPr>
        <w:pStyle w:val="Normal-Indent5"/>
        <w:ind w:left="0"/>
        <w:rPr>
          <w:b/>
          <w:color w:val="auto"/>
        </w:rPr>
      </w:pPr>
      <w:r w:rsidRPr="00B02648">
        <w:rPr>
          <w:color w:val="auto"/>
        </w:rPr>
        <w:t>Under 24 CFR Part 58, every U.S. Department of Housing and Urban Development (HUD) assisted project must complete an Environmental Review. The purpose</w:t>
      </w:r>
      <w:r w:rsidR="007D5FF6">
        <w:rPr>
          <w:color w:val="auto"/>
        </w:rPr>
        <w:t>s</w:t>
      </w:r>
      <w:r w:rsidRPr="00B02648">
        <w:rPr>
          <w:color w:val="auto"/>
        </w:rPr>
        <w:t xml:space="preserve"> of the ER </w:t>
      </w:r>
      <w:r w:rsidR="007D5FF6">
        <w:rPr>
          <w:color w:val="auto"/>
        </w:rPr>
        <w:t>are</w:t>
      </w:r>
      <w:r w:rsidR="007D5FF6" w:rsidRPr="00B02648">
        <w:rPr>
          <w:color w:val="auto"/>
        </w:rPr>
        <w:t xml:space="preserve"> </w:t>
      </w:r>
      <w:r w:rsidRPr="00B02648">
        <w:rPr>
          <w:color w:val="auto"/>
        </w:rPr>
        <w:t xml:space="preserve">to assess the </w:t>
      </w:r>
      <w:proofErr w:type="gramStart"/>
      <w:r w:rsidRPr="00B02648">
        <w:rPr>
          <w:color w:val="auto"/>
        </w:rPr>
        <w:t>impacts</w:t>
      </w:r>
      <w:proofErr w:type="gramEnd"/>
      <w:r w:rsidRPr="00B02648">
        <w:rPr>
          <w:color w:val="auto"/>
        </w:rPr>
        <w:t xml:space="preserve"> of the project on the environment and the impacts of the environment on the project; </w:t>
      </w:r>
      <w:r w:rsidR="00D922E1">
        <w:rPr>
          <w:color w:val="auto"/>
        </w:rPr>
        <w:t xml:space="preserve">to </w:t>
      </w:r>
      <w:r w:rsidRPr="00B02648">
        <w:rPr>
          <w:color w:val="auto"/>
        </w:rPr>
        <w:t xml:space="preserve">involve the public in the decision-making process; and </w:t>
      </w:r>
      <w:r w:rsidR="00D922E1">
        <w:rPr>
          <w:color w:val="auto"/>
        </w:rPr>
        <w:t xml:space="preserve">to </w:t>
      </w:r>
      <w:r w:rsidRPr="00B02648">
        <w:rPr>
          <w:color w:val="auto"/>
        </w:rPr>
        <w:t xml:space="preserve">make better-informed decisions. The ER </w:t>
      </w:r>
      <w:r w:rsidR="00D922E1">
        <w:rPr>
          <w:color w:val="auto"/>
        </w:rPr>
        <w:t>demonstrates</w:t>
      </w:r>
      <w:r w:rsidR="00D922E1" w:rsidRPr="00B02648">
        <w:rPr>
          <w:color w:val="auto"/>
        </w:rPr>
        <w:t xml:space="preserve"> </w:t>
      </w:r>
      <w:r w:rsidRPr="00B02648">
        <w:rPr>
          <w:color w:val="auto"/>
        </w:rPr>
        <w:t xml:space="preserve">compliance with the National Environmental Policy Act (NEPA), and all other local, state, and federal laws and authorities triggered by </w:t>
      </w:r>
      <w:r w:rsidR="00BE1838" w:rsidRPr="000F766C">
        <w:rPr>
          <w:bCs/>
          <w:color w:val="auto"/>
        </w:rPr>
        <w:t>HUD</w:t>
      </w:r>
      <w:r w:rsidRPr="00B02648">
        <w:rPr>
          <w:color w:val="auto"/>
        </w:rPr>
        <w:t xml:space="preserve"> Part 58 ER. For more </w:t>
      </w:r>
      <w:r w:rsidR="00D922E1" w:rsidRPr="00B02648">
        <w:rPr>
          <w:color w:val="auto"/>
        </w:rPr>
        <w:t>information,</w:t>
      </w:r>
      <w:r w:rsidRPr="00B02648">
        <w:rPr>
          <w:color w:val="auto"/>
        </w:rPr>
        <w:t xml:space="preserve"> please contact </w:t>
      </w:r>
      <w:r w:rsidR="00B02648">
        <w:rPr>
          <w:color w:val="auto"/>
        </w:rPr>
        <w:t xml:space="preserve">the </w:t>
      </w:r>
      <w:r w:rsidRPr="00B02648">
        <w:rPr>
          <w:color w:val="auto"/>
        </w:rPr>
        <w:t xml:space="preserve">VCDP Environmental Officer and review </w:t>
      </w:r>
      <w:r w:rsidR="007D5FF6">
        <w:rPr>
          <w:color w:val="auto"/>
        </w:rPr>
        <w:t xml:space="preserve">additional guidance materials on </w:t>
      </w:r>
      <w:r w:rsidRPr="00B02648">
        <w:rPr>
          <w:color w:val="auto"/>
        </w:rPr>
        <w:t xml:space="preserve">the </w:t>
      </w:r>
      <w:hyperlink r:id="rId16" w:history="1">
        <w:r w:rsidR="007D5FF6" w:rsidRPr="007D5FF6">
          <w:rPr>
            <w:rStyle w:val="Hyperlink"/>
          </w:rPr>
          <w:t>ACCD Environmental Review</w:t>
        </w:r>
      </w:hyperlink>
      <w:r w:rsidR="007D5FF6">
        <w:rPr>
          <w:color w:val="auto"/>
        </w:rPr>
        <w:t xml:space="preserve"> webp</w:t>
      </w:r>
      <w:r w:rsidRPr="00B02648">
        <w:rPr>
          <w:color w:val="auto"/>
        </w:rPr>
        <w:t>age</w:t>
      </w:r>
      <w:r w:rsidR="00B02648">
        <w:rPr>
          <w:color w:val="auto"/>
        </w:rPr>
        <w:t>.</w:t>
      </w:r>
      <w:r w:rsidRPr="00B02648">
        <w:rPr>
          <w:color w:val="auto"/>
        </w:rPr>
        <w:t xml:space="preserve"> </w:t>
      </w:r>
    </w:p>
    <w:bookmarkEnd w:id="1"/>
    <w:p w14:paraId="2269A46D" w14:textId="29BD0ED6" w:rsidR="00923657" w:rsidRPr="00801150" w:rsidRDefault="00923657" w:rsidP="00801150">
      <w:pPr>
        <w:pStyle w:val="Heading2"/>
      </w:pPr>
      <w:r w:rsidRPr="00801150">
        <w:t>Environmental Review and the VCDP Application Process</w:t>
      </w:r>
    </w:p>
    <w:p w14:paraId="49D5AC82" w14:textId="6FBDA711" w:rsidR="00923657" w:rsidRPr="00B02648" w:rsidRDefault="00923657" w:rsidP="00923657">
      <w:pPr>
        <w:spacing w:line="276" w:lineRule="auto"/>
        <w:rPr>
          <w:color w:val="auto"/>
        </w:rPr>
      </w:pPr>
      <w:r w:rsidRPr="00B02648">
        <w:rPr>
          <w:color w:val="auto"/>
        </w:rPr>
        <w:t>The ER does not need to be completed before a</w:t>
      </w:r>
      <w:r w:rsidR="00D922E1">
        <w:rPr>
          <w:color w:val="auto"/>
        </w:rPr>
        <w:t xml:space="preserve"> grant </w:t>
      </w:r>
      <w:r w:rsidRPr="00B02648">
        <w:rPr>
          <w:color w:val="auto"/>
        </w:rPr>
        <w:t xml:space="preserve">application is submitted, but applicants are highly encouraged to start the ER early in the application process. The ER must be completed before any </w:t>
      </w:r>
      <w:r w:rsidRPr="00B02648">
        <w:rPr>
          <w:b/>
          <w:bCs/>
          <w:color w:val="auto"/>
        </w:rPr>
        <w:t>choice limiting activities</w:t>
      </w:r>
      <w:r w:rsidRPr="00B02648">
        <w:rPr>
          <w:color w:val="auto"/>
        </w:rPr>
        <w:t xml:space="preserve"> occur. If the ER is not completed prior to receiving an award, the ER will be listed as an Award Condition. Please note that if there are any potential environmental concerns and the ER has not progressed or completed, it is possible that the </w:t>
      </w:r>
      <w:r w:rsidR="00D922E1">
        <w:rPr>
          <w:color w:val="auto"/>
        </w:rPr>
        <w:t xml:space="preserve">Community Development </w:t>
      </w:r>
      <w:r w:rsidRPr="00B02648">
        <w:rPr>
          <w:color w:val="auto"/>
        </w:rPr>
        <w:t xml:space="preserve">Board may table the project until the ER has moved far enough along to rule out any possible issues. </w:t>
      </w:r>
    </w:p>
    <w:p w14:paraId="4550E523" w14:textId="0D82FF2B" w:rsidR="007D5FF6" w:rsidRDefault="007D5FF6">
      <w:pPr>
        <w:rPr>
          <w:color w:val="auto"/>
        </w:rPr>
      </w:pPr>
      <w:r>
        <w:rPr>
          <w:color w:val="auto"/>
        </w:rPr>
        <w:t>A</w:t>
      </w:r>
      <w:r w:rsidRPr="00A971AA">
        <w:rPr>
          <w:color w:val="auto"/>
        </w:rPr>
        <w:t xml:space="preserve"> </w:t>
      </w:r>
      <w:r w:rsidR="00923657" w:rsidRPr="00A971AA">
        <w:rPr>
          <w:color w:val="auto"/>
        </w:rPr>
        <w:t xml:space="preserve">VCDP Grant Agreement will not be </w:t>
      </w:r>
      <w:r>
        <w:rPr>
          <w:color w:val="auto"/>
        </w:rPr>
        <w:t>executed</w:t>
      </w:r>
      <w:r w:rsidRPr="00A971AA">
        <w:rPr>
          <w:color w:val="auto"/>
        </w:rPr>
        <w:t xml:space="preserve"> </w:t>
      </w:r>
      <w:r w:rsidR="00923657" w:rsidRPr="00A971AA">
        <w:rPr>
          <w:color w:val="auto"/>
        </w:rPr>
        <w:t xml:space="preserve">until the Environmental Review has been completed and an Environmental Review Release letter has been issued. The ER Release </w:t>
      </w:r>
      <w:r w:rsidR="00D922E1">
        <w:rPr>
          <w:color w:val="auto"/>
        </w:rPr>
        <w:t>l</w:t>
      </w:r>
      <w:r w:rsidR="00923657" w:rsidRPr="00A971AA">
        <w:rPr>
          <w:color w:val="auto"/>
        </w:rPr>
        <w:t xml:space="preserve">etter signifies </w:t>
      </w:r>
      <w:r>
        <w:rPr>
          <w:color w:val="auto"/>
        </w:rPr>
        <w:t xml:space="preserve">full </w:t>
      </w:r>
      <w:r w:rsidR="00923657" w:rsidRPr="00A971AA">
        <w:rPr>
          <w:color w:val="auto"/>
        </w:rPr>
        <w:t xml:space="preserve">completion </w:t>
      </w:r>
      <w:r>
        <w:rPr>
          <w:color w:val="auto"/>
        </w:rPr>
        <w:t xml:space="preserve">and approval </w:t>
      </w:r>
      <w:r w:rsidR="00923657" w:rsidRPr="00A971AA">
        <w:rPr>
          <w:color w:val="auto"/>
        </w:rPr>
        <w:t>of the ER. This letter may also identify ER Conditions that</w:t>
      </w:r>
      <w:r w:rsidR="00D922E1">
        <w:rPr>
          <w:color w:val="auto"/>
        </w:rPr>
        <w:t xml:space="preserve"> must</w:t>
      </w:r>
      <w:r w:rsidR="00923657" w:rsidRPr="00A971AA">
        <w:rPr>
          <w:color w:val="auto"/>
        </w:rPr>
        <w:t xml:space="preserve"> be satisfied </w:t>
      </w:r>
      <w:r w:rsidR="00D922E1">
        <w:rPr>
          <w:color w:val="auto"/>
        </w:rPr>
        <w:t>before the grant is closed out</w:t>
      </w:r>
      <w:r w:rsidR="00923657" w:rsidRPr="00A971AA">
        <w:rPr>
          <w:color w:val="auto"/>
        </w:rPr>
        <w:t xml:space="preserve">. </w:t>
      </w:r>
    </w:p>
    <w:p w14:paraId="6D2FC336" w14:textId="32956E81" w:rsidR="00A971AA" w:rsidRPr="000F766C" w:rsidRDefault="00923657" w:rsidP="000F766C">
      <w:r w:rsidRPr="00A971AA">
        <w:rPr>
          <w:color w:val="auto"/>
        </w:rPr>
        <w:t xml:space="preserve">Please note that if a significant amount of time has passed (e.g. a year) </w:t>
      </w:r>
      <w:r w:rsidR="007D5FF6">
        <w:rPr>
          <w:color w:val="auto"/>
        </w:rPr>
        <w:t>since the ER was completed but no application has been submitted</w:t>
      </w:r>
      <w:r w:rsidRPr="00A971AA">
        <w:rPr>
          <w:color w:val="auto"/>
        </w:rPr>
        <w:t xml:space="preserve"> the Environmental Officer </w:t>
      </w:r>
      <w:r w:rsidR="007D5FF6">
        <w:rPr>
          <w:color w:val="auto"/>
        </w:rPr>
        <w:t xml:space="preserve">should be contacted </w:t>
      </w:r>
      <w:r w:rsidRPr="00A971AA">
        <w:rPr>
          <w:color w:val="auto"/>
        </w:rPr>
        <w:t xml:space="preserve">to discuss if the ER is still valid. In addition, if the project activities or the scope of work </w:t>
      </w:r>
      <w:r w:rsidR="007D5FF6" w:rsidRPr="00A971AA">
        <w:rPr>
          <w:color w:val="auto"/>
        </w:rPr>
        <w:t>has</w:t>
      </w:r>
      <w:r w:rsidRPr="00A971AA">
        <w:rPr>
          <w:color w:val="auto"/>
        </w:rPr>
        <w:t xml:space="preserve"> changed, a</w:t>
      </w:r>
      <w:r w:rsidR="007D5FF6">
        <w:rPr>
          <w:color w:val="auto"/>
        </w:rPr>
        <w:t xml:space="preserve">n updated </w:t>
      </w:r>
      <w:r w:rsidRPr="00A971AA">
        <w:rPr>
          <w:color w:val="auto"/>
        </w:rPr>
        <w:t>ER may be required.</w:t>
      </w:r>
    </w:p>
    <w:p w14:paraId="2D847B5C" w14:textId="422B6C69" w:rsidR="00CC7E8F" w:rsidRPr="00561EAF" w:rsidRDefault="00CC7E8F" w:rsidP="00CC7E8F">
      <w:pPr>
        <w:pStyle w:val="Heading2"/>
      </w:pPr>
      <w:r w:rsidRPr="00561EAF">
        <w:t>Environmental Review Record</w:t>
      </w:r>
    </w:p>
    <w:p w14:paraId="79CDF01D" w14:textId="541378F7" w:rsidR="00CC7E8F" w:rsidRDefault="00CC7E8F" w:rsidP="00CC7E8F">
      <w:pPr>
        <w:rPr>
          <w:color w:val="auto"/>
        </w:rPr>
      </w:pPr>
      <w:r w:rsidRPr="00F40C71">
        <w:t xml:space="preserve">The entire </w:t>
      </w:r>
      <w:r>
        <w:t>environmental review</w:t>
      </w:r>
      <w:r w:rsidRPr="00F40C71">
        <w:t xml:space="preserve">, including all supporting documentation, is </w:t>
      </w:r>
      <w:r>
        <w:t xml:space="preserve">completed and </w:t>
      </w:r>
      <w:r w:rsidRPr="00F40C71">
        <w:t>saved in GEARS</w:t>
      </w:r>
      <w:r>
        <w:t>, the State of Vermont’s Grants Electronic Accounting and Reporting System.</w:t>
      </w:r>
      <w:r w:rsidRPr="00F40C71">
        <w:t xml:space="preserve"> </w:t>
      </w:r>
      <w:r w:rsidRPr="001F7A35">
        <w:t xml:space="preserve">The entire record is made available to the public for their review, comments and/or objections </w:t>
      </w:r>
      <w:r>
        <w:t xml:space="preserve">during designated periods </w:t>
      </w:r>
      <w:r w:rsidRPr="001F7A35">
        <w:t>and is referred to as the Environmental Review Record (ERR).</w:t>
      </w:r>
      <w:r>
        <w:t xml:space="preserve"> </w:t>
      </w:r>
      <w:r w:rsidRPr="00F40C71">
        <w:t>This file demonstrates</w:t>
      </w:r>
      <w:r w:rsidRPr="001F7A35">
        <w:t xml:space="preserve"> compliance with NEPA, and all other associated local, state, and federal laws and authorities triggered by the </w:t>
      </w:r>
      <w:r w:rsidRPr="001F7A35">
        <w:lastRenderedPageBreak/>
        <w:t xml:space="preserve">HUD ER. </w:t>
      </w:r>
      <w:r w:rsidRPr="00A971AA">
        <w:rPr>
          <w:color w:val="auto"/>
        </w:rPr>
        <w:t xml:space="preserve">The </w:t>
      </w:r>
      <w:r>
        <w:rPr>
          <w:color w:val="auto"/>
        </w:rPr>
        <w:t xml:space="preserve">primary </w:t>
      </w:r>
      <w:r w:rsidRPr="00A971AA">
        <w:rPr>
          <w:color w:val="auto"/>
        </w:rPr>
        <w:t xml:space="preserve">ERR components are the </w:t>
      </w:r>
      <w:r w:rsidRPr="00FB574D">
        <w:rPr>
          <w:color w:val="auto"/>
        </w:rPr>
        <w:t>Environmental Review Compliance Checklist</w:t>
      </w:r>
      <w:r w:rsidRPr="00A971AA">
        <w:rPr>
          <w:color w:val="auto"/>
        </w:rPr>
        <w:t xml:space="preserve"> and </w:t>
      </w:r>
      <w:r w:rsidRPr="00FB574D">
        <w:rPr>
          <w:color w:val="auto"/>
        </w:rPr>
        <w:t xml:space="preserve">Supporting </w:t>
      </w:r>
      <w:r>
        <w:rPr>
          <w:color w:val="auto"/>
        </w:rPr>
        <w:t>D</w:t>
      </w:r>
      <w:r w:rsidRPr="00FB574D">
        <w:rPr>
          <w:color w:val="auto"/>
        </w:rPr>
        <w:t>ocumentation</w:t>
      </w:r>
      <w:r w:rsidRPr="00A971AA">
        <w:rPr>
          <w:color w:val="auto"/>
        </w:rPr>
        <w:t xml:space="preserve">. </w:t>
      </w:r>
    </w:p>
    <w:p w14:paraId="44F35713" w14:textId="77777777" w:rsidR="001D5F4F" w:rsidRPr="00A971AA" w:rsidRDefault="001D5F4F" w:rsidP="001D5F4F">
      <w:pPr>
        <w:pStyle w:val="Heading4"/>
        <w:ind w:left="0"/>
      </w:pPr>
      <w:r w:rsidRPr="00A971AA">
        <w:t xml:space="preserve">Compliance </w:t>
      </w:r>
      <w:r>
        <w:t>C</w:t>
      </w:r>
      <w:r w:rsidRPr="00A971AA">
        <w:t xml:space="preserve">hecklist </w:t>
      </w:r>
    </w:p>
    <w:p w14:paraId="4660596E" w14:textId="77777777" w:rsidR="001D5F4F" w:rsidRDefault="001D5F4F" w:rsidP="001D5F4F">
      <w:r>
        <w:t xml:space="preserve">The compliance checklist is filled out by the ER preparer to document the proposed project’s compliance with all </w:t>
      </w:r>
      <w:r w:rsidRPr="00B02648">
        <w:rPr>
          <w:color w:val="auto"/>
        </w:rPr>
        <w:t xml:space="preserve">local, state, and federal laws and authorities triggered by </w:t>
      </w:r>
      <w:r>
        <w:rPr>
          <w:color w:val="auto"/>
        </w:rPr>
        <w:t xml:space="preserve">the </w:t>
      </w:r>
      <w:r w:rsidRPr="00561EAF">
        <w:rPr>
          <w:bCs/>
          <w:color w:val="auto"/>
        </w:rPr>
        <w:t>HUD</w:t>
      </w:r>
      <w:r w:rsidRPr="00CC7E8F">
        <w:rPr>
          <w:bCs/>
          <w:color w:val="auto"/>
        </w:rPr>
        <w:t xml:space="preserve"> </w:t>
      </w:r>
      <w:r w:rsidRPr="00B02648">
        <w:rPr>
          <w:color w:val="auto"/>
        </w:rPr>
        <w:t>Part 58 ER</w:t>
      </w:r>
      <w:r>
        <w:rPr>
          <w:color w:val="auto"/>
        </w:rPr>
        <w:t xml:space="preserve">. The content and formatting of this checklist vary according to the level of review for the project. This fillable document can be found both on GEARS and on </w:t>
      </w:r>
      <w:r>
        <w:t>t</w:t>
      </w:r>
      <w:r w:rsidRPr="00BE1838">
        <w:t>he Agency’</w:t>
      </w:r>
      <w:r w:rsidRPr="00A971AA">
        <w:t xml:space="preserve">s </w:t>
      </w:r>
      <w:hyperlink r:id="rId17" w:history="1">
        <w:r w:rsidRPr="00A971AA">
          <w:rPr>
            <w:rStyle w:val="Hyperlink"/>
          </w:rPr>
          <w:t>Environmental Review webpage</w:t>
        </w:r>
      </w:hyperlink>
      <w:r>
        <w:t>.</w:t>
      </w:r>
    </w:p>
    <w:p w14:paraId="7953AF84" w14:textId="77777777" w:rsidR="001D5F4F" w:rsidRDefault="001D5F4F" w:rsidP="001D5F4F">
      <w:pPr>
        <w:pStyle w:val="Heading4"/>
        <w:ind w:left="0"/>
      </w:pPr>
      <w:r w:rsidRPr="00561EAF">
        <w:t>Supporting Documentation</w:t>
      </w:r>
    </w:p>
    <w:p w14:paraId="1A816400" w14:textId="77777777" w:rsidR="001D5F4F" w:rsidRPr="00561EAF" w:rsidRDefault="001D5F4F" w:rsidP="001D5F4F">
      <w:r>
        <w:t xml:space="preserve">Supporting Documentation includes maps, reports, photos, site plans and other materials that show compliance with the laws and regulations applicable to the project. These materials are directly referenced in the compliance checklist and are submitted on the Supporting Documentation page on GEARS. </w:t>
      </w:r>
    </w:p>
    <w:p w14:paraId="70E61004" w14:textId="77777777" w:rsidR="001D5F4F" w:rsidRPr="00A971AA" w:rsidRDefault="001D5F4F" w:rsidP="001D5F4F">
      <w:r w:rsidRPr="00BE1838">
        <w:t>The Agency’</w:t>
      </w:r>
      <w:r w:rsidRPr="00A971AA">
        <w:t xml:space="preserve">s </w:t>
      </w:r>
      <w:hyperlink r:id="rId18" w:history="1">
        <w:r w:rsidRPr="00A971AA">
          <w:rPr>
            <w:rStyle w:val="Hyperlink"/>
          </w:rPr>
          <w:t>Environmental Review webpage</w:t>
        </w:r>
      </w:hyperlink>
      <w:r w:rsidRPr="00A971AA">
        <w:t xml:space="preserve"> has guidance documents</w:t>
      </w:r>
      <w:r>
        <w:t xml:space="preserve"> that can</w:t>
      </w:r>
      <w:r w:rsidRPr="00A971AA">
        <w:t xml:space="preserve"> assist the ER preparer in </w:t>
      </w:r>
      <w:r>
        <w:t>obtaining the necessary</w:t>
      </w:r>
      <w:r w:rsidRPr="00A971AA">
        <w:t xml:space="preserve"> </w:t>
      </w:r>
      <w:r>
        <w:t>S</w:t>
      </w:r>
      <w:r w:rsidRPr="00A971AA">
        <w:t xml:space="preserve">upporting </w:t>
      </w:r>
      <w:r>
        <w:t>D</w:t>
      </w:r>
      <w:r w:rsidRPr="00A971AA">
        <w:t xml:space="preserve">ocumentation. </w:t>
      </w:r>
      <w:r>
        <w:t>Documentation from specific sources is required to demonstrate compliance. In particular, t</w:t>
      </w:r>
      <w:r w:rsidRPr="00A971AA">
        <w:t xml:space="preserve">he </w:t>
      </w:r>
      <w:r w:rsidRPr="00561EAF">
        <w:t xml:space="preserve">Floodplain Management </w:t>
      </w:r>
      <w:r>
        <w:t>and Toxic Sites</w:t>
      </w:r>
      <w:r w:rsidRPr="00A971AA">
        <w:t xml:space="preserve"> </w:t>
      </w:r>
      <w:r>
        <w:t>compliance factors</w:t>
      </w:r>
      <w:r w:rsidRPr="00A971AA">
        <w:t xml:space="preserve"> of the ER often require a substantial amount of Supporting Documentation.  </w:t>
      </w:r>
    </w:p>
    <w:p w14:paraId="45015640" w14:textId="77777777" w:rsidR="001D5F4F" w:rsidRDefault="001D5F4F" w:rsidP="001D5F4F">
      <w:pPr>
        <w:rPr>
          <w:u w:val="single"/>
        </w:rPr>
      </w:pPr>
      <w:r>
        <w:rPr>
          <w:u w:val="single"/>
        </w:rPr>
        <w:t>Please note:</w:t>
      </w:r>
    </w:p>
    <w:p w14:paraId="5F56A532" w14:textId="77777777" w:rsidR="001D5F4F" w:rsidRPr="00561EAF" w:rsidRDefault="001D5F4F" w:rsidP="001D5F4F">
      <w:pPr>
        <w:pStyle w:val="ListParagraph"/>
        <w:numPr>
          <w:ilvl w:val="0"/>
          <w:numId w:val="13"/>
        </w:numPr>
      </w:pPr>
      <w:r w:rsidRPr="00A971AA">
        <w:t xml:space="preserve">If the project </w:t>
      </w:r>
      <w:proofErr w:type="gramStart"/>
      <w:r w:rsidRPr="00A971AA">
        <w:t>is located in</w:t>
      </w:r>
      <w:proofErr w:type="gramEnd"/>
      <w:r w:rsidRPr="00A971AA">
        <w:t xml:space="preserve"> the floodway, and the activity is not a functionally dependent use (such as a bridge, marina, or culvert), the project is ineligible for HUD funding.</w:t>
      </w:r>
    </w:p>
    <w:p w14:paraId="6B87643B" w14:textId="4E6EF38D" w:rsidR="001D5F4F" w:rsidRPr="001D5F4F" w:rsidRDefault="001D5F4F" w:rsidP="000F766C">
      <w:pPr>
        <w:pStyle w:val="ListParagraph"/>
        <w:numPr>
          <w:ilvl w:val="0"/>
          <w:numId w:val="13"/>
        </w:numPr>
      </w:pPr>
      <w:r w:rsidRPr="00A971AA">
        <w:t xml:space="preserve">Permits will be required prior to the completion of the ER whenever a permit is needed for mitigation </w:t>
      </w:r>
      <w:r w:rsidRPr="001F7A35">
        <w:t xml:space="preserve">purposes. This may or may not involve an </w:t>
      </w:r>
      <w:r>
        <w:t xml:space="preserve">environmental </w:t>
      </w:r>
      <w:r w:rsidRPr="001F7A35">
        <w:t>impact but may be required as prevention of an impact. In some instances, one permit may be inextricably linked to another permit. In those cases, all associated permits will be required prior to</w:t>
      </w:r>
      <w:r w:rsidRPr="00A971AA">
        <w:t xml:space="preserve"> the completion and approval of the ER</w:t>
      </w:r>
      <w:r>
        <w:t>.</w:t>
      </w:r>
    </w:p>
    <w:p w14:paraId="505A1D45" w14:textId="7176E8CD" w:rsidR="006D0E00" w:rsidRPr="000F766C" w:rsidRDefault="00234130" w:rsidP="000F766C">
      <w:pPr>
        <w:pStyle w:val="Heading4"/>
        <w:ind w:left="0"/>
        <w:rPr>
          <w:bCs/>
          <w:sz w:val="44"/>
          <w:szCs w:val="44"/>
        </w:rPr>
      </w:pPr>
      <w:r w:rsidRPr="000F766C">
        <w:rPr>
          <w:bCs/>
          <w:sz w:val="44"/>
          <w:szCs w:val="44"/>
        </w:rPr>
        <w:t>Choice Limiting Activities</w:t>
      </w:r>
    </w:p>
    <w:p w14:paraId="2C21AEBE" w14:textId="5EA84917" w:rsidR="00234130" w:rsidRPr="00B02648" w:rsidRDefault="007D5FF6" w:rsidP="00B02648">
      <w:pPr>
        <w:pStyle w:val="NormalLARGE"/>
        <w:spacing w:after="0" w:line="240" w:lineRule="auto"/>
        <w:rPr>
          <w:color w:val="auto"/>
          <w:sz w:val="24"/>
          <w:szCs w:val="24"/>
        </w:rPr>
      </w:pPr>
      <w:r w:rsidRPr="000F766C">
        <w:rPr>
          <w:color w:val="auto"/>
          <w:sz w:val="24"/>
          <w:szCs w:val="24"/>
        </w:rPr>
        <w:t>Choice limiting activities</w:t>
      </w:r>
      <w:r w:rsidRPr="000F766C" w:rsidDel="007D5FF6">
        <w:rPr>
          <w:color w:val="auto"/>
          <w:sz w:val="24"/>
          <w:szCs w:val="24"/>
        </w:rPr>
        <w:t xml:space="preserve"> </w:t>
      </w:r>
      <w:r w:rsidRPr="000F766C">
        <w:rPr>
          <w:color w:val="auto"/>
          <w:sz w:val="24"/>
          <w:szCs w:val="24"/>
        </w:rPr>
        <w:t>are</w:t>
      </w:r>
      <w:r>
        <w:rPr>
          <w:b/>
          <w:bCs/>
          <w:color w:val="auto"/>
          <w:sz w:val="24"/>
          <w:szCs w:val="24"/>
        </w:rPr>
        <w:t xml:space="preserve"> </w:t>
      </w:r>
      <w:r>
        <w:rPr>
          <w:color w:val="auto"/>
          <w:sz w:val="24"/>
          <w:szCs w:val="24"/>
        </w:rPr>
        <w:t>c</w:t>
      </w:r>
      <w:r w:rsidR="00234130" w:rsidRPr="00B02648">
        <w:rPr>
          <w:color w:val="auto"/>
          <w:sz w:val="24"/>
          <w:szCs w:val="24"/>
        </w:rPr>
        <w:t>ertain activities</w:t>
      </w:r>
      <w:r>
        <w:rPr>
          <w:color w:val="auto"/>
          <w:sz w:val="24"/>
          <w:szCs w:val="24"/>
        </w:rPr>
        <w:t xml:space="preserve"> that</w:t>
      </w:r>
      <w:r w:rsidR="00234130" w:rsidRPr="00B02648">
        <w:rPr>
          <w:color w:val="auto"/>
          <w:sz w:val="24"/>
          <w:szCs w:val="24"/>
        </w:rPr>
        <w:t xml:space="preserve"> are prohibited until the ER</w:t>
      </w:r>
      <w:r w:rsidR="00D922E1">
        <w:rPr>
          <w:color w:val="auto"/>
          <w:sz w:val="24"/>
          <w:szCs w:val="24"/>
        </w:rPr>
        <w:t xml:space="preserve"> is completed and the ER Release letter has been issued</w:t>
      </w:r>
      <w:r w:rsidR="00234130" w:rsidRPr="00B02648">
        <w:rPr>
          <w:color w:val="auto"/>
          <w:sz w:val="24"/>
          <w:szCs w:val="24"/>
        </w:rPr>
        <w:t xml:space="preserve">. </w:t>
      </w:r>
      <w:r w:rsidR="004F78F9" w:rsidRPr="00B02648">
        <w:rPr>
          <w:color w:val="auto"/>
          <w:sz w:val="24"/>
          <w:szCs w:val="24"/>
        </w:rPr>
        <w:t xml:space="preserve">Conducting a choice limiting activity, especially buying a property, prior to the completion of the ER means that the action itself </w:t>
      </w:r>
      <w:r w:rsidR="004F78F9">
        <w:rPr>
          <w:color w:val="auto"/>
          <w:sz w:val="24"/>
          <w:szCs w:val="24"/>
        </w:rPr>
        <w:t>reduces or eliminates potential opportunities to select project alternatives that would minimize or avoid environmental impacts.</w:t>
      </w:r>
      <w:r w:rsidR="004F78F9" w:rsidRPr="00B02648" w:rsidDel="007D5FF6">
        <w:rPr>
          <w:color w:val="auto"/>
          <w:sz w:val="24"/>
          <w:szCs w:val="24"/>
        </w:rPr>
        <w:t xml:space="preserve"> </w:t>
      </w:r>
      <w:r w:rsidR="00234130" w:rsidRPr="00B02648">
        <w:rPr>
          <w:color w:val="auto"/>
          <w:sz w:val="24"/>
          <w:szCs w:val="24"/>
        </w:rPr>
        <w:t xml:space="preserve">Engaging in these activities prior to the approval of the ER compromises the unbiased consideration of alternatives and is therefore forbidden. </w:t>
      </w:r>
    </w:p>
    <w:p w14:paraId="3688E0B4" w14:textId="77777777" w:rsidR="00B02648" w:rsidRPr="00B02648" w:rsidRDefault="00B02648" w:rsidP="00B02648">
      <w:pPr>
        <w:pStyle w:val="NormalLARGE"/>
        <w:spacing w:after="0" w:line="240" w:lineRule="auto"/>
        <w:rPr>
          <w:color w:val="auto"/>
          <w:sz w:val="24"/>
          <w:szCs w:val="24"/>
        </w:rPr>
      </w:pPr>
    </w:p>
    <w:p w14:paraId="298919A2" w14:textId="4FB1D0DD" w:rsidR="004F78F9" w:rsidRDefault="00505EC3" w:rsidP="00B02648">
      <w:pPr>
        <w:pStyle w:val="NormalLARGE"/>
        <w:spacing w:after="0" w:line="240" w:lineRule="auto"/>
        <w:rPr>
          <w:color w:val="auto"/>
          <w:sz w:val="24"/>
          <w:szCs w:val="24"/>
        </w:rPr>
      </w:pPr>
      <w:r w:rsidRPr="00B02648">
        <w:rPr>
          <w:color w:val="auto"/>
          <w:sz w:val="24"/>
          <w:szCs w:val="24"/>
        </w:rPr>
        <w:lastRenderedPageBreak/>
        <w:t xml:space="preserve">It can be acceptable to send out a request for proposals (RFP) or request for bids for a project ONLY if the request is caveated that the project is contingent upon successful completion of the environmental review, and that the project scope may change </w:t>
      </w:r>
      <w:proofErr w:type="gramStart"/>
      <w:r w:rsidRPr="00B02648">
        <w:rPr>
          <w:color w:val="auto"/>
          <w:sz w:val="24"/>
          <w:szCs w:val="24"/>
        </w:rPr>
        <w:t>as a result of</w:t>
      </w:r>
      <w:proofErr w:type="gramEnd"/>
      <w:r w:rsidRPr="00B02648">
        <w:rPr>
          <w:color w:val="auto"/>
          <w:sz w:val="24"/>
          <w:szCs w:val="24"/>
        </w:rPr>
        <w:t xml:space="preserve"> the environmental review.</w:t>
      </w:r>
      <w:r w:rsidR="004F78F9">
        <w:rPr>
          <w:color w:val="auto"/>
          <w:sz w:val="24"/>
          <w:szCs w:val="24"/>
        </w:rPr>
        <w:t xml:space="preserve"> However, bid evaluations and decisions</w:t>
      </w:r>
      <w:r w:rsidRPr="00B02648">
        <w:rPr>
          <w:color w:val="auto"/>
          <w:sz w:val="24"/>
          <w:szCs w:val="24"/>
        </w:rPr>
        <w:t xml:space="preserve"> </w:t>
      </w:r>
      <w:r w:rsidRPr="000F766C">
        <w:rPr>
          <w:b/>
          <w:bCs/>
          <w:color w:val="auto"/>
          <w:sz w:val="24"/>
          <w:szCs w:val="24"/>
        </w:rPr>
        <w:t>cannot</w:t>
      </w:r>
      <w:r w:rsidRPr="000F766C">
        <w:rPr>
          <w:b/>
          <w:bCs/>
          <w:color w:val="auto"/>
        </w:rPr>
        <w:t xml:space="preserve"> </w:t>
      </w:r>
      <w:r w:rsidRPr="00B02648">
        <w:rPr>
          <w:color w:val="auto"/>
          <w:sz w:val="24"/>
          <w:szCs w:val="24"/>
        </w:rPr>
        <w:t xml:space="preserve">be made until after the environmental review is complete </w:t>
      </w:r>
      <w:r w:rsidR="004F78F9">
        <w:rPr>
          <w:color w:val="auto"/>
          <w:sz w:val="24"/>
          <w:szCs w:val="24"/>
        </w:rPr>
        <w:t>as these are choice limiting activities</w:t>
      </w:r>
      <w:r w:rsidRPr="00B02648">
        <w:rPr>
          <w:color w:val="auto"/>
          <w:sz w:val="24"/>
          <w:szCs w:val="24"/>
        </w:rPr>
        <w:t>.</w:t>
      </w:r>
    </w:p>
    <w:p w14:paraId="280426F8" w14:textId="77777777" w:rsidR="004F78F9" w:rsidRPr="00B02648" w:rsidRDefault="004F78F9" w:rsidP="00B02648">
      <w:pPr>
        <w:pStyle w:val="NormalLARGE"/>
        <w:spacing w:after="0" w:line="240" w:lineRule="auto"/>
        <w:rPr>
          <w:color w:val="auto"/>
          <w:sz w:val="24"/>
          <w:szCs w:val="24"/>
        </w:rPr>
      </w:pPr>
    </w:p>
    <w:p w14:paraId="3AE06EEB" w14:textId="77777777" w:rsidR="00234130" w:rsidRPr="00CF4138" w:rsidRDefault="00234130" w:rsidP="000F766C">
      <w:pPr>
        <w:pStyle w:val="NormalLARGE"/>
        <w:spacing w:after="0" w:line="240" w:lineRule="auto"/>
        <w:rPr>
          <w:b/>
          <w:bCs/>
          <w:szCs w:val="24"/>
        </w:rPr>
      </w:pPr>
      <w:r w:rsidRPr="00CF4138">
        <w:rPr>
          <w:b/>
          <w:bCs/>
        </w:rPr>
        <w:t>Planning Activities</w:t>
      </w:r>
    </w:p>
    <w:p w14:paraId="4F0C1333" w14:textId="53FEA8FD" w:rsidR="00234130" w:rsidRPr="000F766C" w:rsidRDefault="009C407C" w:rsidP="00234130">
      <w:pPr>
        <w:spacing w:line="276" w:lineRule="auto"/>
        <w:rPr>
          <w:color w:val="auto"/>
        </w:rPr>
      </w:pPr>
      <w:r w:rsidRPr="000F766C">
        <w:rPr>
          <w:color w:val="auto"/>
        </w:rPr>
        <w:t>Choice limiting activities f</w:t>
      </w:r>
      <w:r w:rsidR="00234130" w:rsidRPr="000F766C">
        <w:rPr>
          <w:color w:val="auto"/>
        </w:rPr>
        <w:t xml:space="preserve">or planning grants </w:t>
      </w:r>
      <w:r w:rsidRPr="000F766C">
        <w:rPr>
          <w:color w:val="auto"/>
        </w:rPr>
        <w:t xml:space="preserve">are those where </w:t>
      </w:r>
      <w:r w:rsidR="00234130" w:rsidRPr="000F766C">
        <w:rPr>
          <w:color w:val="auto"/>
        </w:rPr>
        <w:t xml:space="preserve">the grant </w:t>
      </w:r>
      <w:r w:rsidR="00B02648" w:rsidRPr="000F766C">
        <w:rPr>
          <w:color w:val="auto"/>
        </w:rPr>
        <w:t xml:space="preserve">work product includes planning </w:t>
      </w:r>
      <w:r w:rsidR="00234130" w:rsidRPr="000F766C">
        <w:rPr>
          <w:color w:val="auto"/>
        </w:rPr>
        <w:t>activities</w:t>
      </w:r>
      <w:r w:rsidR="00B02648" w:rsidRPr="000F766C">
        <w:rPr>
          <w:color w:val="auto"/>
        </w:rPr>
        <w:t xml:space="preserve"> </w:t>
      </w:r>
      <w:r w:rsidR="004F78F9" w:rsidRPr="000F766C">
        <w:rPr>
          <w:color w:val="auto"/>
        </w:rPr>
        <w:t xml:space="preserve">which the applicant will request funding </w:t>
      </w:r>
      <w:r w:rsidR="00B02648" w:rsidRPr="000F766C">
        <w:rPr>
          <w:color w:val="auto"/>
        </w:rPr>
        <w:t>(</w:t>
      </w:r>
      <w:r w:rsidR="004F78F9" w:rsidRPr="000F766C">
        <w:rPr>
          <w:color w:val="auto"/>
        </w:rPr>
        <w:t xml:space="preserve">e.g. a </w:t>
      </w:r>
      <w:r w:rsidR="00B02648" w:rsidRPr="000F766C">
        <w:rPr>
          <w:color w:val="auto"/>
        </w:rPr>
        <w:t xml:space="preserve">feasibility study, engineering report, </w:t>
      </w:r>
      <w:r w:rsidR="004F78F9" w:rsidRPr="000F766C">
        <w:rPr>
          <w:color w:val="auto"/>
        </w:rPr>
        <w:t xml:space="preserve">Phase 1 Environmental Site Assessment, </w:t>
      </w:r>
      <w:r w:rsidR="00B02648" w:rsidRPr="000F766C">
        <w:rPr>
          <w:color w:val="auto"/>
        </w:rPr>
        <w:t>etc</w:t>
      </w:r>
      <w:r w:rsidR="004F78F9" w:rsidRPr="000F766C">
        <w:rPr>
          <w:color w:val="auto"/>
        </w:rPr>
        <w:t>.</w:t>
      </w:r>
      <w:r w:rsidR="00B02648" w:rsidRPr="000F766C">
        <w:rPr>
          <w:color w:val="auto"/>
        </w:rPr>
        <w:t>)</w:t>
      </w:r>
      <w:r w:rsidRPr="000F766C">
        <w:rPr>
          <w:color w:val="auto"/>
        </w:rPr>
        <w:t>.</w:t>
      </w:r>
      <w:r w:rsidR="00234130" w:rsidRPr="000F766C">
        <w:rPr>
          <w:color w:val="auto"/>
        </w:rPr>
        <w:t xml:space="preserve"> </w:t>
      </w:r>
      <w:r w:rsidRPr="000F766C">
        <w:rPr>
          <w:color w:val="auto"/>
        </w:rPr>
        <w:t>For planning grants, i</w:t>
      </w:r>
      <w:r w:rsidR="00234130" w:rsidRPr="000F766C">
        <w:rPr>
          <w:color w:val="auto"/>
        </w:rPr>
        <w:t>t is prohibited to perform any planning activities</w:t>
      </w:r>
      <w:r w:rsidR="00B02648" w:rsidRPr="000F766C">
        <w:rPr>
          <w:color w:val="auto"/>
        </w:rPr>
        <w:t xml:space="preserve"> </w:t>
      </w:r>
      <w:r w:rsidR="00234130" w:rsidRPr="000F766C">
        <w:rPr>
          <w:color w:val="auto"/>
        </w:rPr>
        <w:t xml:space="preserve">until the ER is completed. </w:t>
      </w:r>
    </w:p>
    <w:p w14:paraId="22E542C8" w14:textId="371AB21C" w:rsidR="00505EC3" w:rsidRPr="000F766C" w:rsidRDefault="00505EC3" w:rsidP="000C3E3F">
      <w:pPr>
        <w:pStyle w:val="Heading4"/>
        <w:ind w:left="0"/>
      </w:pPr>
      <w:r w:rsidRPr="000F766C">
        <w:t>Non-Planning Activities</w:t>
      </w:r>
    </w:p>
    <w:p w14:paraId="3D681B07" w14:textId="53569B35" w:rsidR="00F86FEB" w:rsidRPr="000F766C" w:rsidRDefault="00505EC3" w:rsidP="00431D28">
      <w:pPr>
        <w:spacing w:line="276" w:lineRule="auto"/>
        <w:rPr>
          <w:color w:val="auto"/>
        </w:rPr>
      </w:pPr>
      <w:r w:rsidRPr="000F766C">
        <w:rPr>
          <w:color w:val="auto"/>
        </w:rPr>
        <w:t xml:space="preserve">Choice limiting activities for non-planning grants include actions </w:t>
      </w:r>
      <w:proofErr w:type="gramStart"/>
      <w:r w:rsidRPr="000F766C">
        <w:rPr>
          <w:color w:val="auto"/>
        </w:rPr>
        <w:t>such as:</w:t>
      </w:r>
      <w:proofErr w:type="gramEnd"/>
      <w:r w:rsidRPr="000F766C">
        <w:rPr>
          <w:color w:val="auto"/>
        </w:rPr>
        <w:t xml:space="preserve"> signing a Purchase and Sales Agreement; signing an Option Agreement that does not allow the purchaser to elect to terminate the Option Agreement if the subject property is not desirable; acquisition of a property</w:t>
      </w:r>
      <w:r w:rsidR="004F78F9" w:rsidRPr="000F766C">
        <w:rPr>
          <w:color w:val="auto"/>
        </w:rPr>
        <w:t>;</w:t>
      </w:r>
      <w:r w:rsidRPr="000F766C">
        <w:rPr>
          <w:color w:val="auto"/>
        </w:rPr>
        <w:t xml:space="preserve"> leasing a property, or entering into a commitment</w:t>
      </w:r>
      <w:r w:rsidR="004F78F9" w:rsidRPr="000F766C">
        <w:rPr>
          <w:color w:val="auto"/>
        </w:rPr>
        <w:t xml:space="preserve"> </w:t>
      </w:r>
      <w:r w:rsidRPr="000F766C">
        <w:rPr>
          <w:color w:val="auto"/>
        </w:rPr>
        <w:t xml:space="preserve">for repair, rehabilitation, construction, or demolition. </w:t>
      </w:r>
      <w:r w:rsidR="009C407C" w:rsidRPr="000F766C">
        <w:rPr>
          <w:color w:val="auto"/>
        </w:rPr>
        <w:t>For non-planning grants, planning activities are often completed as predevelopment work or as supporting documentation for the environmental review itself, and are not considered choice limiting.</w:t>
      </w:r>
    </w:p>
    <w:p w14:paraId="24CE4137" w14:textId="6867C5AB" w:rsidR="00862ED0" w:rsidRPr="000F766C" w:rsidRDefault="00862ED0" w:rsidP="000B0418">
      <w:pPr>
        <w:pStyle w:val="Heading2"/>
      </w:pPr>
      <w:r w:rsidRPr="000F766C">
        <w:t>Levels of Environmental Review</w:t>
      </w:r>
    </w:p>
    <w:p w14:paraId="10E73B73" w14:textId="77777777" w:rsidR="009C407C" w:rsidRPr="000F766C" w:rsidRDefault="00862ED0" w:rsidP="00862ED0">
      <w:pPr>
        <w:rPr>
          <w:color w:val="auto"/>
        </w:rPr>
      </w:pPr>
      <w:r w:rsidRPr="000F766C">
        <w:rPr>
          <w:color w:val="auto"/>
        </w:rPr>
        <w:t xml:space="preserve">There are three levels of Environmental Review: </w:t>
      </w:r>
    </w:p>
    <w:p w14:paraId="4455E372" w14:textId="3C8D1CA4" w:rsidR="009C407C" w:rsidRDefault="00862ED0" w:rsidP="009C407C">
      <w:pPr>
        <w:pStyle w:val="ListParagraph"/>
        <w:numPr>
          <w:ilvl w:val="0"/>
          <w:numId w:val="13"/>
        </w:numPr>
      </w:pPr>
      <w:r w:rsidRPr="009C407C">
        <w:rPr>
          <w:b/>
        </w:rPr>
        <w:t>Exempt</w:t>
      </w:r>
      <w:r w:rsidRPr="001F7A35">
        <w:t xml:space="preserve"> (this section also includes Categorically Excluded Not Subject To 58.5)</w:t>
      </w:r>
    </w:p>
    <w:p w14:paraId="4CDE2F7F" w14:textId="2223D201" w:rsidR="009C407C" w:rsidRDefault="00862ED0" w:rsidP="009C407C">
      <w:pPr>
        <w:pStyle w:val="ListParagraph"/>
        <w:numPr>
          <w:ilvl w:val="0"/>
          <w:numId w:val="13"/>
        </w:numPr>
      </w:pPr>
      <w:r w:rsidRPr="009C407C">
        <w:rPr>
          <w:b/>
        </w:rPr>
        <w:t>Categorically Excluded</w:t>
      </w:r>
      <w:r w:rsidRPr="001F7A35">
        <w:t xml:space="preserve"> Subject To 58.5 (Categorically Excluded)</w:t>
      </w:r>
    </w:p>
    <w:p w14:paraId="497D3D4C" w14:textId="4562DED6" w:rsidR="00862ED0" w:rsidRDefault="00862ED0" w:rsidP="000F766C">
      <w:pPr>
        <w:pStyle w:val="ListParagraph"/>
        <w:numPr>
          <w:ilvl w:val="0"/>
          <w:numId w:val="13"/>
        </w:numPr>
      </w:pPr>
      <w:r w:rsidRPr="009C407C">
        <w:rPr>
          <w:b/>
        </w:rPr>
        <w:t>Environmental Assessment</w:t>
      </w:r>
      <w:r w:rsidRPr="001F7A35">
        <w:t xml:space="preserve"> (EA)</w:t>
      </w:r>
    </w:p>
    <w:p w14:paraId="66CA0BEE" w14:textId="477DD284" w:rsidR="00C50025" w:rsidRPr="000F766C" w:rsidRDefault="009C407C" w:rsidP="00862ED0">
      <w:pPr>
        <w:rPr>
          <w:color w:val="auto"/>
        </w:rPr>
      </w:pPr>
      <w:r w:rsidRPr="000F766C">
        <w:rPr>
          <w:color w:val="auto"/>
        </w:rPr>
        <w:t>The level of environmental review is determined by</w:t>
      </w:r>
      <w:r w:rsidR="007F1FF3" w:rsidRPr="000F766C">
        <w:rPr>
          <w:color w:val="auto"/>
        </w:rPr>
        <w:t xml:space="preserve"> the</w:t>
      </w:r>
      <w:r w:rsidRPr="000F766C">
        <w:rPr>
          <w:color w:val="auto"/>
        </w:rPr>
        <w:t xml:space="preserve"> project </w:t>
      </w:r>
      <w:r w:rsidR="007F1FF3" w:rsidRPr="000F766C">
        <w:rPr>
          <w:color w:val="auto"/>
        </w:rPr>
        <w:t>activities and scope;</w:t>
      </w:r>
      <w:r w:rsidRPr="000F766C">
        <w:rPr>
          <w:color w:val="auto"/>
        </w:rPr>
        <w:t xml:space="preserve"> parameters are outlined in </w:t>
      </w:r>
      <w:hyperlink r:id="rId19" w:history="1">
        <w:r w:rsidR="007F1FF3" w:rsidRPr="000F766C">
          <w:rPr>
            <w:rStyle w:val="Hyperlink"/>
            <w:color w:val="auto"/>
          </w:rPr>
          <w:t>24 CFR 58.34</w:t>
        </w:r>
      </w:hyperlink>
      <w:r w:rsidR="007F1FF3" w:rsidRPr="000F766C">
        <w:rPr>
          <w:color w:val="auto"/>
        </w:rPr>
        <w:t xml:space="preserve">, </w:t>
      </w:r>
      <w:hyperlink r:id="rId20" w:history="1">
        <w:r w:rsidR="007F1FF3" w:rsidRPr="000F766C">
          <w:rPr>
            <w:rStyle w:val="Hyperlink"/>
            <w:color w:val="auto"/>
          </w:rPr>
          <w:t>24 CFR 58.35</w:t>
        </w:r>
      </w:hyperlink>
      <w:r w:rsidR="007F1FF3" w:rsidRPr="000F766C">
        <w:rPr>
          <w:color w:val="auto"/>
        </w:rPr>
        <w:t xml:space="preserve"> and </w:t>
      </w:r>
      <w:hyperlink r:id="rId21" w:history="1">
        <w:r w:rsidR="007F1FF3" w:rsidRPr="000F766C">
          <w:rPr>
            <w:rStyle w:val="Hyperlink"/>
            <w:color w:val="auto"/>
          </w:rPr>
          <w:t>24 CFR 58.36</w:t>
        </w:r>
      </w:hyperlink>
      <w:r w:rsidR="007F1FF3" w:rsidRPr="000F766C">
        <w:rPr>
          <w:color w:val="auto"/>
        </w:rPr>
        <w:t>. E</w:t>
      </w:r>
      <w:r w:rsidRPr="000F766C">
        <w:rPr>
          <w:color w:val="auto"/>
        </w:rPr>
        <w:t>ach subsequent level requires more documentation than the last</w:t>
      </w:r>
      <w:r w:rsidR="007F1FF3" w:rsidRPr="000F766C">
        <w:rPr>
          <w:color w:val="auto"/>
        </w:rPr>
        <w:t xml:space="preserve"> because the proposed project activities have greater potential to cause environmental impacts</w:t>
      </w:r>
      <w:r w:rsidRPr="000F766C">
        <w:rPr>
          <w:color w:val="auto"/>
        </w:rPr>
        <w:t xml:space="preserve">. </w:t>
      </w:r>
      <w:r w:rsidR="00C50025" w:rsidRPr="000F766C">
        <w:rPr>
          <w:color w:val="auto"/>
        </w:rPr>
        <w:t xml:space="preserve">See </w:t>
      </w:r>
      <w:r w:rsidRPr="000F766C">
        <w:rPr>
          <w:color w:val="auto"/>
        </w:rPr>
        <w:t xml:space="preserve">the </w:t>
      </w:r>
      <w:hyperlink r:id="rId22" w:history="1">
        <w:r w:rsidRPr="000F766C">
          <w:rPr>
            <w:rStyle w:val="Hyperlink"/>
            <w:color w:val="auto"/>
          </w:rPr>
          <w:t>Environmental Review Steps FAQ</w:t>
        </w:r>
      </w:hyperlink>
      <w:r w:rsidR="00C50025" w:rsidRPr="000F766C">
        <w:rPr>
          <w:color w:val="auto"/>
        </w:rPr>
        <w:t xml:space="preserve"> </w:t>
      </w:r>
      <w:r w:rsidR="00BE1838" w:rsidRPr="000F766C">
        <w:rPr>
          <w:color w:val="auto"/>
        </w:rPr>
        <w:t>webpage for</w:t>
      </w:r>
      <w:r w:rsidR="00C50025" w:rsidRPr="000F766C">
        <w:rPr>
          <w:color w:val="auto"/>
        </w:rPr>
        <w:t xml:space="preserve"> more information about how to determine</w:t>
      </w:r>
      <w:r w:rsidRPr="000F766C">
        <w:rPr>
          <w:color w:val="auto"/>
        </w:rPr>
        <w:t xml:space="preserve"> the appropriate level of</w:t>
      </w:r>
      <w:r w:rsidR="00C50025" w:rsidRPr="000F766C">
        <w:rPr>
          <w:color w:val="auto"/>
        </w:rPr>
        <w:t xml:space="preserve"> </w:t>
      </w:r>
      <w:r w:rsidRPr="000F766C">
        <w:rPr>
          <w:color w:val="auto"/>
        </w:rPr>
        <w:t>environmental review for your project</w:t>
      </w:r>
      <w:r w:rsidR="00C50025" w:rsidRPr="000F766C">
        <w:rPr>
          <w:color w:val="auto"/>
        </w:rPr>
        <w:t xml:space="preserve">. </w:t>
      </w:r>
      <w:r w:rsidR="007F1FF3" w:rsidRPr="000F766C">
        <w:rPr>
          <w:color w:val="auto"/>
        </w:rPr>
        <w:t>Contact the Environmental Officer for assistance in making this determination.</w:t>
      </w:r>
    </w:p>
    <w:p w14:paraId="6098EB05" w14:textId="77777777" w:rsidR="00D73540" w:rsidRPr="000F766C" w:rsidRDefault="00D73540" w:rsidP="00862ED0">
      <w:pPr>
        <w:rPr>
          <w:color w:val="auto"/>
        </w:rPr>
      </w:pPr>
      <w:r w:rsidRPr="000F766C">
        <w:rPr>
          <w:color w:val="auto"/>
        </w:rPr>
        <w:t>Please note:</w:t>
      </w:r>
    </w:p>
    <w:p w14:paraId="76B2157C" w14:textId="17ED3BE7" w:rsidR="007F1FF3" w:rsidRPr="000F766C" w:rsidRDefault="00D73540" w:rsidP="00D73540">
      <w:pPr>
        <w:pStyle w:val="ListParagraph"/>
        <w:numPr>
          <w:ilvl w:val="0"/>
          <w:numId w:val="13"/>
        </w:numPr>
        <w:rPr>
          <w:color w:val="auto"/>
        </w:rPr>
      </w:pPr>
      <w:r w:rsidRPr="000F766C">
        <w:rPr>
          <w:color w:val="auto"/>
        </w:rPr>
        <w:t>T</w:t>
      </w:r>
      <w:r w:rsidR="007F1FF3" w:rsidRPr="000F766C">
        <w:rPr>
          <w:color w:val="auto"/>
        </w:rPr>
        <w:t xml:space="preserve">he Exempt level </w:t>
      </w:r>
      <w:r w:rsidR="007F1FF3" w:rsidRPr="000F766C">
        <w:rPr>
          <w:b/>
          <w:bCs/>
          <w:color w:val="auto"/>
        </w:rPr>
        <w:t>does not</w:t>
      </w:r>
      <w:r w:rsidR="007F1FF3" w:rsidRPr="000F766C">
        <w:rPr>
          <w:color w:val="auto"/>
        </w:rPr>
        <w:t xml:space="preserve"> mean that the project is exempt from an environmental review in its entirety. Exempt level projects are exempt from compliance with Part 58.5 regulations, but they are still subject to Part 58.6 </w:t>
      </w:r>
      <w:r w:rsidR="007F1FF3" w:rsidRPr="000F766C">
        <w:rPr>
          <w:color w:val="auto"/>
        </w:rPr>
        <w:lastRenderedPageBreak/>
        <w:t xml:space="preserve">regulations including Airport Runway Clear Zones, Floodplain Management and Coastal Resources. </w:t>
      </w:r>
    </w:p>
    <w:p w14:paraId="077444A5" w14:textId="143BA0B4" w:rsidR="00D73540" w:rsidRPr="000F766C" w:rsidRDefault="00D73540" w:rsidP="000F766C">
      <w:pPr>
        <w:pStyle w:val="ListParagraph"/>
        <w:numPr>
          <w:ilvl w:val="0"/>
          <w:numId w:val="13"/>
        </w:numPr>
        <w:rPr>
          <w:color w:val="auto"/>
        </w:rPr>
      </w:pPr>
      <w:r w:rsidRPr="000F766C">
        <w:rPr>
          <w:color w:val="auto"/>
        </w:rPr>
        <w:t xml:space="preserve">The project description for an ER is extremely important as this is how the level of review is determined. If the project description is not inclusive of </w:t>
      </w:r>
      <w:r w:rsidRPr="000F766C">
        <w:rPr>
          <w:color w:val="auto"/>
          <w:u w:val="single"/>
        </w:rPr>
        <w:t>all</w:t>
      </w:r>
      <w:r w:rsidRPr="000F766C">
        <w:rPr>
          <w:color w:val="auto"/>
        </w:rPr>
        <w:t xml:space="preserve"> proposed activities, even if it seems as if some activities have no environmental impact, a change of level of review may be required after the ER is in progress or completed which may delay ER completion. </w:t>
      </w:r>
    </w:p>
    <w:p w14:paraId="4C309D2E" w14:textId="26F7EDBB" w:rsidR="00AC69E0" w:rsidRPr="00423C09" w:rsidRDefault="00AC69E0" w:rsidP="00AC69E0">
      <w:pPr>
        <w:rPr>
          <w:color w:val="auto"/>
        </w:rPr>
      </w:pPr>
      <w:r w:rsidRPr="000F766C">
        <w:rPr>
          <w:color w:val="auto"/>
        </w:rPr>
        <w:t xml:space="preserve">All projects, even </w:t>
      </w:r>
      <w:r w:rsidR="009C407C" w:rsidRPr="000F766C">
        <w:rPr>
          <w:color w:val="auto"/>
        </w:rPr>
        <w:t xml:space="preserve">those at the </w:t>
      </w:r>
      <w:r w:rsidRPr="000F766C">
        <w:rPr>
          <w:color w:val="auto"/>
        </w:rPr>
        <w:t>exempt</w:t>
      </w:r>
      <w:r w:rsidR="009C407C" w:rsidRPr="000F766C">
        <w:rPr>
          <w:color w:val="auto"/>
        </w:rPr>
        <w:t xml:space="preserve"> level</w:t>
      </w:r>
      <w:r w:rsidRPr="000F766C">
        <w:rPr>
          <w:color w:val="auto"/>
        </w:rPr>
        <w:t xml:space="preserve">, require </w:t>
      </w:r>
      <w:r w:rsidR="009C407C" w:rsidRPr="000F766C">
        <w:rPr>
          <w:color w:val="auto"/>
        </w:rPr>
        <w:t xml:space="preserve">the completion of </w:t>
      </w:r>
      <w:r w:rsidRPr="000F766C">
        <w:rPr>
          <w:color w:val="auto"/>
        </w:rPr>
        <w:t xml:space="preserve">a </w:t>
      </w:r>
      <w:r w:rsidRPr="00423C09">
        <w:rPr>
          <w:color w:val="auto"/>
        </w:rPr>
        <w:t>Preliminary</w:t>
      </w:r>
      <w:r w:rsidR="009C407C" w:rsidRPr="00423C09">
        <w:rPr>
          <w:color w:val="auto"/>
        </w:rPr>
        <w:t xml:space="preserve"> Review Form. This form must</w:t>
      </w:r>
      <w:r w:rsidRPr="00423C09">
        <w:rPr>
          <w:color w:val="auto"/>
        </w:rPr>
        <w:t xml:space="preserve"> be submitted</w:t>
      </w:r>
      <w:r w:rsidR="009C407C" w:rsidRPr="00423C09">
        <w:rPr>
          <w:color w:val="auto"/>
        </w:rPr>
        <w:t xml:space="preserve"> to the Vermont Division for Historic Preservation (VDHP) using the online </w:t>
      </w:r>
      <w:hyperlink r:id="rId23" w:history="1">
        <w:r w:rsidR="009C407C" w:rsidRPr="00423C09">
          <w:rPr>
            <w:rStyle w:val="Hyperlink"/>
            <w:color w:val="auto"/>
          </w:rPr>
          <w:t>CHAMP</w:t>
        </w:r>
      </w:hyperlink>
      <w:r w:rsidR="009C407C" w:rsidRPr="000F766C">
        <w:rPr>
          <w:color w:val="auto"/>
        </w:rPr>
        <w:t xml:space="preserve"> </w:t>
      </w:r>
      <w:r w:rsidR="009C407C" w:rsidRPr="00423C09">
        <w:rPr>
          <w:color w:val="auto"/>
        </w:rPr>
        <w:t>system</w:t>
      </w:r>
      <w:r w:rsidRPr="00423C09">
        <w:rPr>
          <w:color w:val="auto"/>
        </w:rPr>
        <w:t xml:space="preserve">. </w:t>
      </w:r>
      <w:r w:rsidR="007F1FF3" w:rsidRPr="00423C09">
        <w:rPr>
          <w:color w:val="auto"/>
        </w:rPr>
        <w:t xml:space="preserve">VDHP will review the submission and </w:t>
      </w:r>
      <w:proofErr w:type="gramStart"/>
      <w:r w:rsidR="007F1FF3" w:rsidRPr="00423C09">
        <w:rPr>
          <w:color w:val="auto"/>
        </w:rPr>
        <w:t>make a determination</w:t>
      </w:r>
      <w:proofErr w:type="gramEnd"/>
      <w:r w:rsidR="007F1FF3" w:rsidRPr="00423C09">
        <w:rPr>
          <w:color w:val="auto"/>
        </w:rPr>
        <w:t xml:space="preserve"> of effect on historic resources</w:t>
      </w:r>
      <w:r w:rsidR="00DF2EDF" w:rsidRPr="00423C09">
        <w:rPr>
          <w:color w:val="auto"/>
        </w:rPr>
        <w:t xml:space="preserve">. </w:t>
      </w:r>
      <w:r w:rsidRPr="00423C09">
        <w:rPr>
          <w:color w:val="auto"/>
        </w:rPr>
        <w:t>This review period can take up to</w:t>
      </w:r>
      <w:r w:rsidR="00DF2EDF" w:rsidRPr="00423C09">
        <w:rPr>
          <w:color w:val="auto"/>
        </w:rPr>
        <w:t xml:space="preserve"> 30 days. VDHP will sign and date the reviewed form and return it to the applicant. The Preliminary Review Form serves as the Supporting Documentation for the Historic Preservation compliance factor.</w:t>
      </w:r>
    </w:p>
    <w:p w14:paraId="030B07FB" w14:textId="77777777" w:rsidR="00FB1E14" w:rsidRPr="000F766C" w:rsidRDefault="00FB1E14" w:rsidP="00FB1E14">
      <w:pPr>
        <w:pStyle w:val="Heading4"/>
        <w:ind w:left="0"/>
      </w:pPr>
      <w:bookmarkStart w:id="2" w:name="_Ref229041607"/>
      <w:r w:rsidRPr="000F766C">
        <w:t>Convert to Exempt</w:t>
      </w:r>
      <w:bookmarkEnd w:id="2"/>
    </w:p>
    <w:p w14:paraId="0696E84E" w14:textId="552C40B1" w:rsidR="00596DF1" w:rsidRPr="00423C09" w:rsidRDefault="00596DF1" w:rsidP="00596DF1">
      <w:pPr>
        <w:rPr>
          <w:color w:val="auto"/>
        </w:rPr>
      </w:pPr>
      <w:r w:rsidRPr="00423C09">
        <w:rPr>
          <w:color w:val="auto"/>
        </w:rPr>
        <w:t xml:space="preserve">Certain Categorically Excluded projects that, after review, </w:t>
      </w:r>
      <w:r w:rsidR="00DF2EDF" w:rsidRPr="00423C09">
        <w:rPr>
          <w:color w:val="auto"/>
        </w:rPr>
        <w:t>do not require</w:t>
      </w:r>
      <w:r w:rsidRPr="00423C09">
        <w:rPr>
          <w:color w:val="auto"/>
        </w:rPr>
        <w:t xml:space="preserve"> mitigation </w:t>
      </w:r>
      <w:r w:rsidR="00DF2EDF" w:rsidRPr="00423C09">
        <w:rPr>
          <w:color w:val="auto"/>
        </w:rPr>
        <w:t xml:space="preserve">measures </w:t>
      </w:r>
      <w:r w:rsidRPr="00423C09">
        <w:rPr>
          <w:color w:val="auto"/>
        </w:rPr>
        <w:t xml:space="preserve">or </w:t>
      </w:r>
      <w:r w:rsidR="00DF2EDF" w:rsidRPr="00423C09">
        <w:rPr>
          <w:color w:val="auto"/>
        </w:rPr>
        <w:t xml:space="preserve">formal </w:t>
      </w:r>
      <w:r w:rsidRPr="00423C09">
        <w:rPr>
          <w:color w:val="auto"/>
        </w:rPr>
        <w:t>compliance</w:t>
      </w:r>
      <w:r w:rsidR="00DF2EDF" w:rsidRPr="00423C09">
        <w:rPr>
          <w:color w:val="auto"/>
        </w:rPr>
        <w:t xml:space="preserve"> steps are able to </w:t>
      </w:r>
      <w:r w:rsidRPr="00423C09">
        <w:rPr>
          <w:color w:val="auto"/>
        </w:rPr>
        <w:t>“convert” to Exempt</w:t>
      </w:r>
      <w:r w:rsidRPr="00423C09">
        <w:rPr>
          <w:b/>
          <w:bCs/>
          <w:color w:val="auto"/>
        </w:rPr>
        <w:t>.</w:t>
      </w:r>
      <w:r w:rsidRPr="00423C09">
        <w:rPr>
          <w:color w:val="auto"/>
        </w:rPr>
        <w:t xml:space="preserve"> This does not mean that the project could have started </w:t>
      </w:r>
      <w:r w:rsidR="00DF2EDF" w:rsidRPr="00423C09">
        <w:rPr>
          <w:color w:val="auto"/>
        </w:rPr>
        <w:t xml:space="preserve">at the </w:t>
      </w:r>
      <w:r w:rsidRPr="00423C09">
        <w:rPr>
          <w:color w:val="auto"/>
        </w:rPr>
        <w:t xml:space="preserve">Exempt </w:t>
      </w:r>
      <w:r w:rsidR="00DF2EDF" w:rsidRPr="00423C09">
        <w:rPr>
          <w:color w:val="auto"/>
        </w:rPr>
        <w:t xml:space="preserve">level, </w:t>
      </w:r>
      <w:r w:rsidRPr="00423C09">
        <w:rPr>
          <w:color w:val="auto"/>
        </w:rPr>
        <w:t xml:space="preserve">but rather it </w:t>
      </w:r>
      <w:r w:rsidR="00DF2EDF" w:rsidRPr="00423C09">
        <w:rPr>
          <w:color w:val="auto"/>
        </w:rPr>
        <w:t xml:space="preserve">means that the project </w:t>
      </w:r>
      <w:r w:rsidRPr="00423C09">
        <w:rPr>
          <w:color w:val="auto"/>
        </w:rPr>
        <w:t>can be treated as Exempt</w:t>
      </w:r>
      <w:r w:rsidR="00DF2EDF" w:rsidRPr="00423C09">
        <w:rPr>
          <w:color w:val="auto"/>
        </w:rPr>
        <w:t xml:space="preserve"> moving forward</w:t>
      </w:r>
      <w:r w:rsidRPr="00423C09">
        <w:rPr>
          <w:color w:val="auto"/>
        </w:rPr>
        <w:t xml:space="preserve"> because no further compliance is needed. The project remains in GEARS as a Categorically Excluded project </w:t>
      </w:r>
      <w:proofErr w:type="gramStart"/>
      <w:r w:rsidRPr="00423C09">
        <w:rPr>
          <w:color w:val="auto"/>
        </w:rPr>
        <w:t>in order to</w:t>
      </w:r>
      <w:proofErr w:type="gramEnd"/>
      <w:r w:rsidRPr="00423C09">
        <w:rPr>
          <w:color w:val="auto"/>
        </w:rPr>
        <w:t xml:space="preserve"> maintain </w:t>
      </w:r>
      <w:proofErr w:type="gramStart"/>
      <w:r w:rsidRPr="00423C09">
        <w:rPr>
          <w:color w:val="auto"/>
        </w:rPr>
        <w:t>all of</w:t>
      </w:r>
      <w:proofErr w:type="gramEnd"/>
      <w:r w:rsidRPr="00423C09">
        <w:rPr>
          <w:color w:val="auto"/>
        </w:rPr>
        <w:t xml:space="preserve"> the supporting documentation</w:t>
      </w:r>
      <w:r w:rsidR="00DF2EDF" w:rsidRPr="00423C09">
        <w:rPr>
          <w:color w:val="auto"/>
        </w:rPr>
        <w:t>,</w:t>
      </w:r>
      <w:r w:rsidRPr="00423C09">
        <w:rPr>
          <w:color w:val="auto"/>
        </w:rPr>
        <w:t xml:space="preserve"> but </w:t>
      </w:r>
      <w:r w:rsidR="003503DC" w:rsidRPr="00423C09">
        <w:rPr>
          <w:color w:val="auto"/>
        </w:rPr>
        <w:t xml:space="preserve">it </w:t>
      </w:r>
      <w:r w:rsidRPr="00423C09">
        <w:rPr>
          <w:color w:val="auto"/>
        </w:rPr>
        <w:t xml:space="preserve">does not require </w:t>
      </w:r>
      <w:proofErr w:type="gramStart"/>
      <w:r w:rsidRPr="00423C09">
        <w:rPr>
          <w:color w:val="auto"/>
        </w:rPr>
        <w:t>a public</w:t>
      </w:r>
      <w:proofErr w:type="gramEnd"/>
      <w:r w:rsidRPr="00423C09">
        <w:rPr>
          <w:color w:val="auto"/>
        </w:rPr>
        <w:t xml:space="preserve"> notice, </w:t>
      </w:r>
      <w:r w:rsidR="00DF2EDF" w:rsidRPr="00423C09">
        <w:rPr>
          <w:color w:val="auto"/>
        </w:rPr>
        <w:t xml:space="preserve">public </w:t>
      </w:r>
      <w:r w:rsidRPr="00423C09">
        <w:rPr>
          <w:color w:val="auto"/>
        </w:rPr>
        <w:t xml:space="preserve">comment </w:t>
      </w:r>
      <w:r w:rsidR="00DF2EDF" w:rsidRPr="00423C09">
        <w:rPr>
          <w:color w:val="auto"/>
        </w:rPr>
        <w:t xml:space="preserve">period, </w:t>
      </w:r>
      <w:r w:rsidRPr="00423C09">
        <w:rPr>
          <w:color w:val="auto"/>
        </w:rPr>
        <w:t xml:space="preserve">objection period, or Request for Release of Funds. </w:t>
      </w:r>
      <w:r w:rsidR="00DF2EDF" w:rsidRPr="00423C09">
        <w:rPr>
          <w:color w:val="auto"/>
        </w:rPr>
        <w:t>An</w:t>
      </w:r>
      <w:r w:rsidRPr="00423C09">
        <w:rPr>
          <w:color w:val="auto"/>
        </w:rPr>
        <w:t xml:space="preserve"> ER Release </w:t>
      </w:r>
      <w:r w:rsidR="00DF2EDF" w:rsidRPr="00423C09">
        <w:rPr>
          <w:color w:val="auto"/>
        </w:rPr>
        <w:t>l</w:t>
      </w:r>
      <w:r w:rsidRPr="00423C09">
        <w:rPr>
          <w:color w:val="auto"/>
        </w:rPr>
        <w:t xml:space="preserve">etter </w:t>
      </w:r>
      <w:r w:rsidR="00DF2EDF" w:rsidRPr="00423C09">
        <w:rPr>
          <w:color w:val="auto"/>
        </w:rPr>
        <w:t xml:space="preserve">is still required </w:t>
      </w:r>
      <w:r w:rsidRPr="00423C09">
        <w:rPr>
          <w:color w:val="auto"/>
        </w:rPr>
        <w:t>before initiating project activities</w:t>
      </w:r>
      <w:r w:rsidR="00DF2EDF" w:rsidRPr="00423C09">
        <w:rPr>
          <w:color w:val="auto"/>
        </w:rPr>
        <w:t xml:space="preserve"> or choice limiting activities.</w:t>
      </w:r>
    </w:p>
    <w:p w14:paraId="1690611D" w14:textId="3EC29DFA" w:rsidR="005B0E8D" w:rsidRPr="000F766C" w:rsidRDefault="005B0E8D" w:rsidP="000F766C">
      <w:pPr>
        <w:pStyle w:val="Heading4"/>
        <w:ind w:left="0"/>
      </w:pPr>
      <w:r w:rsidRPr="000F766C">
        <w:t xml:space="preserve">Tiered </w:t>
      </w:r>
      <w:r w:rsidR="001D5F4F">
        <w:t xml:space="preserve">Environmental </w:t>
      </w:r>
      <w:r w:rsidRPr="000F766C">
        <w:t xml:space="preserve">Reviews </w:t>
      </w:r>
    </w:p>
    <w:p w14:paraId="1A734BAD" w14:textId="421D129F" w:rsidR="00017C67" w:rsidRPr="00A971AA" w:rsidRDefault="004F1030" w:rsidP="000F766C">
      <w:r w:rsidRPr="001F7A35">
        <w:t xml:space="preserve">In some cases, the project may include unidentified locations. In this instance, a tiered ER is appropriate. </w:t>
      </w:r>
      <w:r w:rsidR="00027DA3">
        <w:t>A</w:t>
      </w:r>
      <w:r w:rsidRPr="001F7A35">
        <w:t xml:space="preserve"> Tier I ER </w:t>
      </w:r>
      <w:r w:rsidR="00027DA3">
        <w:t xml:space="preserve">is a broad level review of statutory factors that the project can demonstrate compliance with while the exact project location is unknown. </w:t>
      </w:r>
      <w:r w:rsidR="00027DA3" w:rsidRPr="001F7A35">
        <w:t xml:space="preserve">The completion of the Tier I ER results in a Tier I ER Release </w:t>
      </w:r>
      <w:r w:rsidR="00027DA3">
        <w:t>l</w:t>
      </w:r>
      <w:r w:rsidR="00027DA3" w:rsidRPr="001F7A35">
        <w:t xml:space="preserve">etter </w:t>
      </w:r>
      <w:r w:rsidR="00027DA3">
        <w:t xml:space="preserve">which includes a condition stipulating that a Tier II ER will be completed once the exact project location becomes known. A Tier II ER is linked to </w:t>
      </w:r>
      <w:proofErr w:type="gramStart"/>
      <w:r w:rsidR="00027DA3">
        <w:t>the Tier</w:t>
      </w:r>
      <w:proofErr w:type="gramEnd"/>
      <w:r w:rsidR="00027DA3">
        <w:t xml:space="preserve"> I ER, and demonstrates compliance with the remaining statutory factors that are related to the exact project location. The ER is complete and funds can be expended once the Tier II ER Release letter is issued.</w:t>
      </w:r>
    </w:p>
    <w:p w14:paraId="4641800F" w14:textId="70603D4B" w:rsidR="004C78A7" w:rsidRPr="000F766C" w:rsidRDefault="00017C67" w:rsidP="000F766C">
      <w:pPr>
        <w:pStyle w:val="Heading2"/>
      </w:pPr>
      <w:r>
        <w:t xml:space="preserve">GEARS </w:t>
      </w:r>
      <w:r w:rsidR="007652E1">
        <w:t xml:space="preserve">Process and </w:t>
      </w:r>
      <w:r w:rsidR="004C78A7" w:rsidRPr="000F766C">
        <w:t>Stat</w:t>
      </w:r>
      <w:r w:rsidR="007652E1">
        <w:t>u</w:t>
      </w:r>
      <w:r w:rsidR="004C78A7" w:rsidRPr="000F766C">
        <w:t>s Changes</w:t>
      </w:r>
    </w:p>
    <w:p w14:paraId="2541F834" w14:textId="19CD6D41" w:rsidR="004C78A7" w:rsidRDefault="004C78A7" w:rsidP="004C78A7">
      <w:r w:rsidRPr="001F7A35">
        <w:t xml:space="preserve">Throughout the review process, the ER </w:t>
      </w:r>
      <w:r w:rsidR="00017C67">
        <w:t>will progress through certain stages</w:t>
      </w:r>
      <w:r w:rsidRPr="001F7A35">
        <w:t>.</w:t>
      </w:r>
      <w:r w:rsidR="00017C67">
        <w:t xml:space="preserve"> To mark the status of the ER at these intervals, the ER preparer and the Environmental Officer will both perform status changes on GEARS. </w:t>
      </w:r>
      <w:r w:rsidR="00D73540">
        <w:t xml:space="preserve">Status changes initiate email notifications </w:t>
      </w:r>
      <w:r w:rsidR="00D73540">
        <w:lastRenderedPageBreak/>
        <w:t xml:space="preserve">that communicate requests for review, requests for modification or prompts </w:t>
      </w:r>
      <w:r w:rsidR="007652E1">
        <w:t>to complete the next required action.</w:t>
      </w:r>
    </w:p>
    <w:p w14:paraId="28C50A5D" w14:textId="632B07EC" w:rsidR="00027DA3" w:rsidRPr="000F766C" w:rsidRDefault="00027DA3" w:rsidP="004C78A7">
      <w:pPr>
        <w:rPr>
          <w:color w:val="auto"/>
        </w:rPr>
      </w:pPr>
      <w:r w:rsidRPr="00BE1838">
        <w:rPr>
          <w:color w:val="auto"/>
        </w:rPr>
        <w:t xml:space="preserve">The </w:t>
      </w:r>
      <w:r>
        <w:rPr>
          <w:color w:val="auto"/>
        </w:rPr>
        <w:t xml:space="preserve">ER </w:t>
      </w:r>
      <w:r w:rsidRPr="00BE1838">
        <w:rPr>
          <w:color w:val="auto"/>
        </w:rPr>
        <w:t xml:space="preserve">process begins with the </w:t>
      </w:r>
      <w:r w:rsidR="00017C67">
        <w:rPr>
          <w:color w:val="auto"/>
        </w:rPr>
        <w:t xml:space="preserve">Responsible Entity (either the </w:t>
      </w:r>
      <w:r w:rsidRPr="00BE1838">
        <w:rPr>
          <w:color w:val="auto"/>
        </w:rPr>
        <w:t xml:space="preserve">Municipality </w:t>
      </w:r>
      <w:r w:rsidR="00017C67">
        <w:rPr>
          <w:color w:val="auto"/>
        </w:rPr>
        <w:t xml:space="preserve">or the Agency, depending on funding circumstances) </w:t>
      </w:r>
      <w:r w:rsidRPr="00BE1838">
        <w:rPr>
          <w:color w:val="auto"/>
        </w:rPr>
        <w:t xml:space="preserve">opening a new ER. Typically, ER preparers </w:t>
      </w:r>
      <w:r>
        <w:rPr>
          <w:color w:val="auto"/>
        </w:rPr>
        <w:t xml:space="preserve">and consultants </w:t>
      </w:r>
      <w:r w:rsidRPr="00BE1838">
        <w:rPr>
          <w:color w:val="auto"/>
        </w:rPr>
        <w:t xml:space="preserve">are assigned a “writer” role in GEARS. </w:t>
      </w:r>
    </w:p>
    <w:p w14:paraId="4CF227BF" w14:textId="75C24516" w:rsidR="004C78A7" w:rsidRDefault="004C78A7" w:rsidP="004C78A7">
      <w:r w:rsidRPr="001F7A35">
        <w:t>When the ER is first opened, it will default to the status “</w:t>
      </w:r>
      <w:r w:rsidRPr="000F766C">
        <w:rPr>
          <w:b/>
          <w:bCs/>
        </w:rPr>
        <w:t xml:space="preserve">Env Review </w:t>
      </w:r>
      <w:r w:rsidR="00D73540">
        <w:rPr>
          <w:b/>
          <w:bCs/>
        </w:rPr>
        <w:t>i</w:t>
      </w:r>
      <w:r w:rsidRPr="000F766C">
        <w:rPr>
          <w:b/>
          <w:bCs/>
        </w:rPr>
        <w:t>n Process</w:t>
      </w:r>
      <w:r w:rsidRPr="001F7A35">
        <w:t>”</w:t>
      </w:r>
      <w:r w:rsidR="00D73540">
        <w:t>.</w:t>
      </w:r>
      <w:r w:rsidRPr="001F7A35">
        <w:t xml:space="preserve"> In this status, the </w:t>
      </w:r>
      <w:r w:rsidR="00017C67">
        <w:t>ER preparer</w:t>
      </w:r>
      <w:r w:rsidRPr="001F7A35">
        <w:t xml:space="preserve"> </w:t>
      </w:r>
      <w:proofErr w:type="gramStart"/>
      <w:r w:rsidRPr="001F7A35">
        <w:t>is able to</w:t>
      </w:r>
      <w:proofErr w:type="gramEnd"/>
      <w:r w:rsidRPr="001F7A35">
        <w:t xml:space="preserve"> </w:t>
      </w:r>
      <w:r w:rsidR="00017C67">
        <w:t xml:space="preserve">freely </w:t>
      </w:r>
      <w:r w:rsidRPr="001F7A35">
        <w:t xml:space="preserve">make edits and uploads. </w:t>
      </w:r>
    </w:p>
    <w:p w14:paraId="42B96643" w14:textId="24B4AAE9" w:rsidR="004C78A7" w:rsidRDefault="004C78A7" w:rsidP="004C78A7">
      <w:r>
        <w:rPr>
          <w:color w:val="auto"/>
        </w:rPr>
        <w:t>Each page of the ER in GEARS has</w:t>
      </w:r>
      <w:r w:rsidRPr="00BE1838">
        <w:rPr>
          <w:color w:val="auto"/>
        </w:rPr>
        <w:t xml:space="preserve"> written guidance to assist you in completing the Environmental Review. In addition, all forms needed are linked within GEARS.</w:t>
      </w:r>
    </w:p>
    <w:p w14:paraId="6E70E551" w14:textId="4578CF96" w:rsidR="004C78A7" w:rsidRPr="000F766C" w:rsidRDefault="004F1030" w:rsidP="004F1030">
      <w:pPr>
        <w:rPr>
          <w:color w:val="auto"/>
        </w:rPr>
      </w:pPr>
      <w:r w:rsidRPr="00BE1838">
        <w:rPr>
          <w:color w:val="auto"/>
        </w:rPr>
        <w:t>The E</w:t>
      </w:r>
      <w:r>
        <w:rPr>
          <w:color w:val="auto"/>
        </w:rPr>
        <w:t xml:space="preserve">R </w:t>
      </w:r>
      <w:r w:rsidRPr="00BE1838">
        <w:rPr>
          <w:color w:val="auto"/>
        </w:rPr>
        <w:t xml:space="preserve">has several pages that need to be completed before being submitted for </w:t>
      </w:r>
      <w:r w:rsidR="00D73540">
        <w:rPr>
          <w:color w:val="auto"/>
        </w:rPr>
        <w:t>preapproval. Once all pages are complete and Supporting Documentation is uploaded</w:t>
      </w:r>
      <w:r w:rsidRPr="00BE1838">
        <w:rPr>
          <w:color w:val="auto"/>
        </w:rPr>
        <w:t>,</w:t>
      </w:r>
      <w:r w:rsidR="00D73540">
        <w:rPr>
          <w:color w:val="auto"/>
        </w:rPr>
        <w:t xml:space="preserve"> the ER preparer changes the status from </w:t>
      </w:r>
      <w:r w:rsidRPr="00BE1838">
        <w:rPr>
          <w:color w:val="auto"/>
        </w:rPr>
        <w:t>“</w:t>
      </w:r>
      <w:r w:rsidRPr="000F766C">
        <w:rPr>
          <w:b/>
          <w:bCs/>
          <w:color w:val="auto"/>
        </w:rPr>
        <w:t>Env Review in Process</w:t>
      </w:r>
      <w:r w:rsidRPr="00BE1838">
        <w:rPr>
          <w:color w:val="auto"/>
        </w:rPr>
        <w:t xml:space="preserve">” to </w:t>
      </w:r>
      <w:r w:rsidRPr="000F766C">
        <w:rPr>
          <w:b/>
          <w:bCs/>
          <w:color w:val="auto"/>
        </w:rPr>
        <w:t>“Env Review Pre-Approval Submitted</w:t>
      </w:r>
      <w:r w:rsidRPr="00BE1838">
        <w:rPr>
          <w:color w:val="auto"/>
        </w:rPr>
        <w:t xml:space="preserve">.” </w:t>
      </w:r>
    </w:p>
    <w:p w14:paraId="3FF26BAF" w14:textId="1FB9C2BE" w:rsidR="00906616" w:rsidRDefault="00906616" w:rsidP="004F1030">
      <w:r w:rsidRPr="001F7A35">
        <w:t>At this stage, the E</w:t>
      </w:r>
      <w:r>
        <w:t>R</w:t>
      </w:r>
      <w:r w:rsidRPr="001F7A35">
        <w:t xml:space="preserve"> </w:t>
      </w:r>
      <w:r w:rsidR="007652E1">
        <w:t>is</w:t>
      </w:r>
      <w:r w:rsidRPr="001F7A35">
        <w:t xml:space="preserve"> reviewed by the Environmental Officer. Any required </w:t>
      </w:r>
      <w:r w:rsidR="007652E1">
        <w:t>modifications or revisions</w:t>
      </w:r>
      <w:r w:rsidRPr="001F7A35">
        <w:t xml:space="preserve">, additional documentation, and feedback will be </w:t>
      </w:r>
      <w:r w:rsidR="007652E1">
        <w:t xml:space="preserve">communicated via email to the ER </w:t>
      </w:r>
      <w:proofErr w:type="gramStart"/>
      <w:r w:rsidR="007652E1">
        <w:t>preparer</w:t>
      </w:r>
      <w:proofErr w:type="gramEnd"/>
      <w:r w:rsidR="007652E1">
        <w:t xml:space="preserve"> </w:t>
      </w:r>
      <w:r w:rsidRPr="001F7A35">
        <w:t xml:space="preserve">and the </w:t>
      </w:r>
      <w:r w:rsidR="007652E1">
        <w:t xml:space="preserve">Environmental Officer will change the status </w:t>
      </w:r>
      <w:r w:rsidRPr="001F7A35">
        <w:t>to “</w:t>
      </w:r>
      <w:r w:rsidRPr="000F766C">
        <w:rPr>
          <w:b/>
          <w:bCs/>
        </w:rPr>
        <w:t>Env Review Pre-Approval Modifications Required</w:t>
      </w:r>
      <w:r w:rsidRPr="001F7A35">
        <w:t xml:space="preserve">”. When all revisions have been made, the </w:t>
      </w:r>
      <w:r w:rsidR="007652E1">
        <w:t xml:space="preserve">ER preparer will change the status to </w:t>
      </w:r>
      <w:r w:rsidR="007652E1" w:rsidRPr="001F7A35">
        <w:t>“</w:t>
      </w:r>
      <w:r w:rsidR="007652E1" w:rsidRPr="00561EAF">
        <w:rPr>
          <w:b/>
          <w:bCs/>
        </w:rPr>
        <w:t xml:space="preserve">Env Review Pre-Approval Modifications </w:t>
      </w:r>
      <w:r w:rsidR="007652E1">
        <w:rPr>
          <w:b/>
          <w:bCs/>
        </w:rPr>
        <w:t>Submitted</w:t>
      </w:r>
      <w:r w:rsidR="007652E1" w:rsidRPr="001F7A35">
        <w:t>”</w:t>
      </w:r>
      <w:r w:rsidRPr="001F7A35">
        <w:t xml:space="preserve">. When the Environmental Review is </w:t>
      </w:r>
      <w:r w:rsidR="007652E1">
        <w:t>compliant</w:t>
      </w:r>
      <w:r w:rsidR="00B55A93">
        <w:t xml:space="preserve">, </w:t>
      </w:r>
      <w:r w:rsidR="007652E1">
        <w:t>it will</w:t>
      </w:r>
      <w:r w:rsidRPr="001F7A35">
        <w:t xml:space="preserve"> proceed to the next </w:t>
      </w:r>
      <w:r w:rsidR="007652E1">
        <w:t>stage when the Environmental Officer changes the status to</w:t>
      </w:r>
      <w:r w:rsidRPr="001F7A35">
        <w:t xml:space="preserve"> “</w:t>
      </w:r>
      <w:r w:rsidRPr="000F766C">
        <w:rPr>
          <w:b/>
          <w:bCs/>
        </w:rPr>
        <w:t>Env Review Public Notice Required</w:t>
      </w:r>
      <w:r w:rsidRPr="007652E1">
        <w:t>”</w:t>
      </w:r>
      <w:r w:rsidR="007652E1">
        <w:t>.</w:t>
      </w:r>
    </w:p>
    <w:p w14:paraId="28409C4E" w14:textId="28DB20DD" w:rsidR="00906616" w:rsidRDefault="00D85455" w:rsidP="00906616">
      <w:r>
        <w:t xml:space="preserve">(Skip this stage if project is Exempt) </w:t>
      </w:r>
      <w:r w:rsidR="00906616" w:rsidRPr="001F7A35">
        <w:t xml:space="preserve">At this stage, the </w:t>
      </w:r>
      <w:r w:rsidR="007652E1">
        <w:t>ER preparer</w:t>
      </w:r>
      <w:r w:rsidR="00906616">
        <w:t xml:space="preserve"> </w:t>
      </w:r>
      <w:r w:rsidR="00906616" w:rsidRPr="001F7A35">
        <w:t xml:space="preserve">will </w:t>
      </w:r>
      <w:r w:rsidR="007652E1">
        <w:t>draft</w:t>
      </w:r>
      <w:r w:rsidR="00906616" w:rsidRPr="001F7A35">
        <w:t xml:space="preserve"> the public notice (see next section for requirements). </w:t>
      </w:r>
      <w:r w:rsidR="00B55A93">
        <w:t>Once the public notice period has expired</w:t>
      </w:r>
      <w:r>
        <w:t xml:space="preserve">, </w:t>
      </w:r>
      <w:r w:rsidR="00B55A93">
        <w:t xml:space="preserve">the draft notice and tear sheet from the newspaper publication </w:t>
      </w:r>
      <w:r>
        <w:t xml:space="preserve">must be </w:t>
      </w:r>
      <w:r w:rsidR="00B55A93">
        <w:t>uploaded to GEARS</w:t>
      </w:r>
      <w:r>
        <w:t xml:space="preserve">. </w:t>
      </w:r>
      <w:r w:rsidRPr="001F7A35">
        <w:t xml:space="preserve">The </w:t>
      </w:r>
      <w:r>
        <w:t>ER preparer</w:t>
      </w:r>
      <w:r w:rsidRPr="001F7A35">
        <w:t xml:space="preserve"> </w:t>
      </w:r>
      <w:r>
        <w:t>must also upload documentation of</w:t>
      </w:r>
      <w:r w:rsidRPr="001F7A35">
        <w:t xml:space="preserve"> all public outreach that has been completed for the project up to this point (this includes minutes and lists of attendees of any applicable public hearings or meetings)</w:t>
      </w:r>
      <w:r>
        <w:t xml:space="preserve"> and then change </w:t>
      </w:r>
      <w:r w:rsidR="00B55A93">
        <w:t>the status to “</w:t>
      </w:r>
      <w:r w:rsidR="00B55A93" w:rsidRPr="00561EAF">
        <w:rPr>
          <w:b/>
          <w:bCs/>
        </w:rPr>
        <w:t>Env Review</w:t>
      </w:r>
      <w:r w:rsidR="00B55A93" w:rsidRPr="00B55A93">
        <w:rPr>
          <w:b/>
          <w:bCs/>
        </w:rPr>
        <w:t xml:space="preserve"> </w:t>
      </w:r>
      <w:r w:rsidR="00B55A93" w:rsidRPr="00561EAF">
        <w:rPr>
          <w:b/>
          <w:bCs/>
        </w:rPr>
        <w:t xml:space="preserve">Public Notice </w:t>
      </w:r>
      <w:r w:rsidR="00B55A93">
        <w:rPr>
          <w:b/>
          <w:bCs/>
        </w:rPr>
        <w:t>Submitted</w:t>
      </w:r>
      <w:r w:rsidR="00B55A93">
        <w:t>”.</w:t>
      </w:r>
      <w:r>
        <w:t xml:space="preserve"> </w:t>
      </w:r>
      <w:r w:rsidR="00B55A93">
        <w:t>After review, the Environmental Officer changes the status to “</w:t>
      </w:r>
      <w:r w:rsidR="00B55A93" w:rsidRPr="00561EAF">
        <w:rPr>
          <w:b/>
          <w:bCs/>
        </w:rPr>
        <w:t>Env Review</w:t>
      </w:r>
      <w:r w:rsidR="00B55A93" w:rsidRPr="00B55A93">
        <w:rPr>
          <w:b/>
          <w:bCs/>
        </w:rPr>
        <w:t xml:space="preserve"> </w:t>
      </w:r>
      <w:r w:rsidR="00B55A93" w:rsidRPr="000F766C">
        <w:rPr>
          <w:b/>
          <w:bCs/>
        </w:rPr>
        <w:t>Public Notice Accepted</w:t>
      </w:r>
      <w:r w:rsidR="00B55A93">
        <w:t xml:space="preserve">”. </w:t>
      </w:r>
    </w:p>
    <w:p w14:paraId="2321EC39" w14:textId="5EFF65DC" w:rsidR="00B55A93" w:rsidRDefault="00B55A93" w:rsidP="00906616">
      <w:r>
        <w:t xml:space="preserve">At this stage, the person holding the Municipal Authorizing Official (MAO) role in GEARS must certify the ER, affirming that they </w:t>
      </w:r>
      <w:r w:rsidRPr="00B55A93">
        <w:t>find the information contained</w:t>
      </w:r>
      <w:r>
        <w:t xml:space="preserve"> to</w:t>
      </w:r>
      <w:r w:rsidRPr="00B55A93">
        <w:t xml:space="preserve"> be accurate to the best of </w:t>
      </w:r>
      <w:r>
        <w:t>their</w:t>
      </w:r>
      <w:r w:rsidRPr="00B55A93">
        <w:t xml:space="preserve"> knowledge and </w:t>
      </w:r>
      <w:r>
        <w:t>they</w:t>
      </w:r>
      <w:r w:rsidRPr="00B55A93">
        <w:t xml:space="preserve"> agree with the Finding indicated</w:t>
      </w:r>
      <w:r>
        <w:t xml:space="preserve">. </w:t>
      </w:r>
      <w:r w:rsidR="00D85455">
        <w:t>Once this action is completed, the MAO changes the status to “</w:t>
      </w:r>
      <w:r w:rsidR="00D85455" w:rsidRPr="000F766C">
        <w:rPr>
          <w:b/>
          <w:bCs/>
        </w:rPr>
        <w:t>Env Review Submitted</w:t>
      </w:r>
      <w:r w:rsidR="00D85455">
        <w:t xml:space="preserve">”. </w:t>
      </w:r>
    </w:p>
    <w:p w14:paraId="04740043" w14:textId="3AA3E937" w:rsidR="00B55A93" w:rsidRDefault="00D85455" w:rsidP="00906616">
      <w:r>
        <w:t>The Environmental Officer changes the status to “</w:t>
      </w:r>
      <w:r w:rsidRPr="000F766C">
        <w:rPr>
          <w:b/>
          <w:bCs/>
        </w:rPr>
        <w:t>Env Review Approval Pending</w:t>
      </w:r>
      <w:r>
        <w:t xml:space="preserve">”, which marks the beginning of the </w:t>
      </w:r>
      <w:r w:rsidR="00D93D6D">
        <w:t>15-day</w:t>
      </w:r>
      <w:r>
        <w:t xml:space="preserve"> objection period (unless the project is Exempt, in which case the release is issued immediately after the ER is Certified). Once the objection period has expired, the Environmental Officer changes the status to “</w:t>
      </w:r>
      <w:r w:rsidRPr="000F766C">
        <w:rPr>
          <w:b/>
          <w:bCs/>
        </w:rPr>
        <w:t>Env Review Approved</w:t>
      </w:r>
      <w:r>
        <w:t xml:space="preserve">” and issues the Environmental Review Release letter on GEARS and over email. </w:t>
      </w:r>
    </w:p>
    <w:p w14:paraId="668C01BC" w14:textId="05D9B0FA" w:rsidR="00906616" w:rsidRPr="000F766C" w:rsidRDefault="00906616" w:rsidP="000F766C">
      <w:pPr>
        <w:pStyle w:val="Heading2"/>
      </w:pPr>
      <w:r w:rsidRPr="000F766C">
        <w:lastRenderedPageBreak/>
        <w:t xml:space="preserve">Public Notice </w:t>
      </w:r>
      <w:r w:rsidR="001D5F4F">
        <w:t>and Comment Period Information</w:t>
      </w:r>
    </w:p>
    <w:p w14:paraId="2715CE28" w14:textId="72EEE4F6" w:rsidR="00B55A93" w:rsidRDefault="00B55A93">
      <w:proofErr w:type="gramStart"/>
      <w:r>
        <w:t>A p</w:t>
      </w:r>
      <w:r w:rsidRPr="001F7A35">
        <w:t>ublic</w:t>
      </w:r>
      <w:proofErr w:type="gramEnd"/>
      <w:r w:rsidRPr="001F7A35">
        <w:t xml:space="preserve"> notice is required for Categorically Excluded and Environmental Assessment </w:t>
      </w:r>
      <w:r>
        <w:t xml:space="preserve">level </w:t>
      </w:r>
      <w:r w:rsidRPr="001F7A35">
        <w:t>reviews</w:t>
      </w:r>
      <w:r>
        <w:t>, but not for Exempt level reviews</w:t>
      </w:r>
      <w:r w:rsidRPr="001F7A35">
        <w:t xml:space="preserve">. The </w:t>
      </w:r>
      <w:r w:rsidR="00D85455">
        <w:t xml:space="preserve">ER preparer should </w:t>
      </w:r>
      <w:r w:rsidRPr="001F7A35">
        <w:t xml:space="preserve">draft </w:t>
      </w:r>
      <w:r w:rsidR="00D85455">
        <w:t xml:space="preserve">the </w:t>
      </w:r>
      <w:r w:rsidRPr="001F7A35">
        <w:t xml:space="preserve">public notice </w:t>
      </w:r>
      <w:r w:rsidR="00D85455">
        <w:t xml:space="preserve">and email it </w:t>
      </w:r>
      <w:r w:rsidRPr="001F7A35">
        <w:t xml:space="preserve">to the Environmental Officer for review and </w:t>
      </w:r>
      <w:r>
        <w:t xml:space="preserve">potential </w:t>
      </w:r>
      <w:r w:rsidRPr="001F7A35">
        <w:t xml:space="preserve">edits prior to publication. If the public notice is not reviewed prior to publication and there are deficiencies, the public notice may need to be reissued. All public notices </w:t>
      </w:r>
      <w:r w:rsidR="00D85455">
        <w:t>must be</w:t>
      </w:r>
      <w:r w:rsidRPr="001F7A35">
        <w:t xml:space="preserve"> posted </w:t>
      </w:r>
      <w:r>
        <w:t xml:space="preserve">in </w:t>
      </w:r>
      <w:r w:rsidRPr="001F7A35">
        <w:t>a newspaper that serve</w:t>
      </w:r>
      <w:r>
        <w:t>s</w:t>
      </w:r>
      <w:r w:rsidRPr="001F7A35">
        <w:t xml:space="preserve"> the project area</w:t>
      </w:r>
      <w:r>
        <w:t xml:space="preserve"> </w:t>
      </w:r>
      <w:r w:rsidRPr="000F766C">
        <w:rPr>
          <w:b/>
          <w:bCs/>
          <w:u w:val="single"/>
        </w:rPr>
        <w:t>or</w:t>
      </w:r>
      <w:r>
        <w:t xml:space="preserve"> on an accessible government website.</w:t>
      </w:r>
      <w:r w:rsidRPr="001F7A35">
        <w:t xml:space="preserve"> The dates in the </w:t>
      </w:r>
      <w:r>
        <w:t xml:space="preserve">public </w:t>
      </w:r>
      <w:r w:rsidRPr="001F7A35">
        <w:t xml:space="preserve">notice must coincide with the required public comment period. If comments or objections are received, the </w:t>
      </w:r>
      <w:r w:rsidR="00D85455">
        <w:t>Responsible Entity</w:t>
      </w:r>
      <w:r w:rsidRPr="001F7A35">
        <w:t xml:space="preserve"> (in collaboration with VCDP and other project partners) must prepare written responses to each commenter and include the comments and responses in the ERR.</w:t>
      </w:r>
    </w:p>
    <w:p w14:paraId="059E42B4" w14:textId="2C35884F" w:rsidR="001D5F4F" w:rsidRDefault="001D5F4F">
      <w:r>
        <w:t xml:space="preserve">The length of the </w:t>
      </w:r>
      <w:r w:rsidR="007B534D">
        <w:t xml:space="preserve">public comment </w:t>
      </w:r>
      <w:r>
        <w:t>period is based on the level of review for the project.</w:t>
      </w:r>
    </w:p>
    <w:p w14:paraId="21408583" w14:textId="33C57567" w:rsidR="009077B0" w:rsidRDefault="001D5F4F" w:rsidP="000F766C">
      <w:r w:rsidRPr="000F766C">
        <w:rPr>
          <w:b/>
          <w:bCs/>
        </w:rPr>
        <w:t>Exempt</w:t>
      </w:r>
      <w:r>
        <w:t xml:space="preserve"> level projects </w:t>
      </w:r>
      <w:r w:rsidRPr="000F766C">
        <w:rPr>
          <w:u w:val="single"/>
        </w:rPr>
        <w:t>do not</w:t>
      </w:r>
      <w:r>
        <w:t xml:space="preserve"> require </w:t>
      </w:r>
      <w:proofErr w:type="gramStart"/>
      <w:r>
        <w:t>a</w:t>
      </w:r>
      <w:r w:rsidR="007B534D">
        <w:t xml:space="preserve"> public</w:t>
      </w:r>
      <w:proofErr w:type="gramEnd"/>
      <w:r w:rsidR="007B534D">
        <w:t xml:space="preserve"> notice, a public comment period or an objection period. </w:t>
      </w:r>
    </w:p>
    <w:p w14:paraId="6E6929D3" w14:textId="579957DB" w:rsidR="009077B0" w:rsidRDefault="00906616" w:rsidP="00266632">
      <w:r w:rsidRPr="000F766C">
        <w:rPr>
          <w:b/>
          <w:bCs/>
        </w:rPr>
        <w:t>Categorically Excluded</w:t>
      </w:r>
      <w:r>
        <w:t xml:space="preserve"> </w:t>
      </w:r>
      <w:r w:rsidR="007B534D" w:rsidRPr="000F766C">
        <w:rPr>
          <w:b/>
          <w:bCs/>
        </w:rPr>
        <w:t>“convert to exempt”</w:t>
      </w:r>
      <w:r w:rsidR="007B534D">
        <w:t xml:space="preserve"> </w:t>
      </w:r>
      <w:r>
        <w:t xml:space="preserve">projects that </w:t>
      </w:r>
      <w:r w:rsidRPr="009077B0">
        <w:t>do not</w:t>
      </w:r>
      <w:r>
        <w:t xml:space="preserve"> </w:t>
      </w:r>
      <w:r w:rsidR="007B534D">
        <w:t xml:space="preserve">require formal compliance steps or mitigation </w:t>
      </w:r>
      <w:r w:rsidR="007B534D" w:rsidRPr="000F766C">
        <w:rPr>
          <w:u w:val="single"/>
        </w:rPr>
        <w:t>do not</w:t>
      </w:r>
      <w:r w:rsidR="007B534D">
        <w:t xml:space="preserve"> require</w:t>
      </w:r>
      <w:r>
        <w:t xml:space="preserve"> a public notice</w:t>
      </w:r>
      <w:r w:rsidR="007B534D">
        <w:t>, a public comment period or an objection period.</w:t>
      </w:r>
    </w:p>
    <w:p w14:paraId="3F6B8C1D" w14:textId="77777777" w:rsidR="00266632" w:rsidRDefault="00266632" w:rsidP="00266632">
      <w:r w:rsidRPr="00266632">
        <w:rPr>
          <w:b/>
          <w:bCs/>
        </w:rPr>
        <w:t>Categorically Excluded</w:t>
      </w:r>
      <w:r w:rsidRPr="001F7A35">
        <w:t xml:space="preserve"> projects</w:t>
      </w:r>
      <w:r>
        <w:t xml:space="preserve"> require </w:t>
      </w:r>
      <w:r w:rsidRPr="001F7A35">
        <w:t xml:space="preserve">a </w:t>
      </w:r>
      <w:r>
        <w:t xml:space="preserve">public notice, a </w:t>
      </w:r>
      <w:r w:rsidRPr="00266632">
        <w:rPr>
          <w:u w:val="single"/>
        </w:rPr>
        <w:t>7-day</w:t>
      </w:r>
      <w:r w:rsidRPr="001F7A35">
        <w:t xml:space="preserve"> public comment period starting the day after the publication date</w:t>
      </w:r>
      <w:r>
        <w:t xml:space="preserve"> and a </w:t>
      </w:r>
      <w:r w:rsidRPr="00266632">
        <w:rPr>
          <w:u w:val="single"/>
        </w:rPr>
        <w:t>15-day</w:t>
      </w:r>
      <w:r w:rsidRPr="001F7A35">
        <w:t xml:space="preserve"> public objection period starting the day after the</w:t>
      </w:r>
      <w:r>
        <w:t xml:space="preserve"> ER is certified by the MAO.</w:t>
      </w:r>
      <w:r w:rsidRPr="005304DA">
        <w:t xml:space="preserve"> </w:t>
      </w:r>
      <w:r w:rsidRPr="001F7A35">
        <w:t>See the color-coded calendar below for an example public comment</w:t>
      </w:r>
      <w:r>
        <w:t xml:space="preserve"> and </w:t>
      </w:r>
      <w:r w:rsidRPr="001F7A35">
        <w:t>objection period for a</w:t>
      </w:r>
      <w:r>
        <w:t xml:space="preserve">n </w:t>
      </w:r>
      <w:r w:rsidRPr="00561EAF">
        <w:t>Environmental Assessment</w:t>
      </w:r>
      <w:r w:rsidRPr="00D93D6D">
        <w:t xml:space="preserve"> </w:t>
      </w:r>
      <w:r>
        <w:t xml:space="preserve">level </w:t>
      </w:r>
      <w:r w:rsidRPr="001F7A35">
        <w:t>ER</w:t>
      </w:r>
      <w:r>
        <w:t>.</w:t>
      </w:r>
    </w:p>
    <w:p w14:paraId="6F130F7F" w14:textId="77777777" w:rsidR="00E920C1" w:rsidRDefault="00266632" w:rsidP="00E920C1">
      <w:pPr>
        <w:keepNext/>
      </w:pPr>
      <w:r>
        <w:rPr>
          <w:noProof/>
        </w:rPr>
        <w:drawing>
          <wp:inline distT="0" distB="0" distL="0" distR="0" wp14:anchorId="544D0392" wp14:editId="298ECA50">
            <wp:extent cx="6450537" cy="2539219"/>
            <wp:effectExtent l="0" t="0" r="7620" b="0"/>
            <wp:docPr id="1926236679" name="Picture 1" descr="A calendar block showing the timeline of public engagement activities for a Categorically Excluded level ER. &#10;The public comment period begins the day after the public notice is published, and lasts for 7 days. Then the ER is Certified by the MAO. The objection period lasts for 15 days and the day after the ER Release letter is issued and effec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36679" name="Picture 1" descr="A calendar block showing the timeline of public engagement activities for a Categorically Excluded level ER. &#10;The public comment period begins the day after the public notice is published, and lasts for 7 days. Then the ER is Certified by the MAO. The objection period lasts for 15 days and the day after the ER Release letter is issued and effectiv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87151" cy="2553632"/>
                    </a:xfrm>
                    <a:prstGeom prst="rect">
                      <a:avLst/>
                    </a:prstGeom>
                    <a:noFill/>
                    <a:ln>
                      <a:noFill/>
                    </a:ln>
                  </pic:spPr>
                </pic:pic>
              </a:graphicData>
            </a:graphic>
          </wp:inline>
        </w:drawing>
      </w:r>
    </w:p>
    <w:p w14:paraId="06722E8A" w14:textId="5C4B3907" w:rsidR="00266632" w:rsidRDefault="00E920C1" w:rsidP="00E920C1">
      <w:pPr>
        <w:pStyle w:val="Caption"/>
      </w:pPr>
      <w:r>
        <w:t xml:space="preserve">Figure </w:t>
      </w:r>
      <w:fldSimple w:instr=" SEQ Figure \* ARABIC ">
        <w:r>
          <w:rPr>
            <w:noProof/>
          </w:rPr>
          <w:t>1</w:t>
        </w:r>
      </w:fldSimple>
      <w:r>
        <w:t>: Public Notice Period for CATEX Projects</w:t>
      </w:r>
    </w:p>
    <w:p w14:paraId="65700912" w14:textId="77777777" w:rsidR="00266632" w:rsidRDefault="00266632" w:rsidP="000F766C">
      <w:r w:rsidRPr="00266632">
        <w:rPr>
          <w:b/>
          <w:bCs/>
        </w:rPr>
        <w:lastRenderedPageBreak/>
        <w:t>Environmental Assessment</w:t>
      </w:r>
      <w:r w:rsidRPr="009077B0">
        <w:t xml:space="preserve"> projects</w:t>
      </w:r>
      <w:r>
        <w:t xml:space="preserve"> require a public notice, a</w:t>
      </w:r>
      <w:r w:rsidRPr="001F7A35">
        <w:t xml:space="preserve"> </w:t>
      </w:r>
      <w:r w:rsidRPr="00266632">
        <w:rPr>
          <w:u w:val="single"/>
        </w:rPr>
        <w:t>15-day</w:t>
      </w:r>
      <w:r w:rsidRPr="001F7A35">
        <w:t xml:space="preserve"> public comment period starting the day after the publication date</w:t>
      </w:r>
      <w:r w:rsidRPr="009077B0">
        <w:t xml:space="preserve"> </w:t>
      </w:r>
      <w:r>
        <w:t xml:space="preserve">and a </w:t>
      </w:r>
      <w:r w:rsidRPr="00266632">
        <w:rPr>
          <w:u w:val="single"/>
        </w:rPr>
        <w:t>15-day</w:t>
      </w:r>
      <w:r w:rsidRPr="001F7A35">
        <w:t xml:space="preserve"> public objection period starting the day after the</w:t>
      </w:r>
      <w:r>
        <w:t xml:space="preserve"> ER is certified by the MAO</w:t>
      </w:r>
      <w:r w:rsidRPr="001F7A35">
        <w:t>.</w:t>
      </w:r>
      <w:r>
        <w:t xml:space="preserve"> </w:t>
      </w:r>
      <w:r w:rsidRPr="001F7A35">
        <w:t>See the color-coded calendar below for an example public comment</w:t>
      </w:r>
      <w:r>
        <w:t xml:space="preserve"> and </w:t>
      </w:r>
      <w:r w:rsidRPr="001F7A35">
        <w:t>objection period for a</w:t>
      </w:r>
      <w:r>
        <w:t xml:space="preserve">n </w:t>
      </w:r>
      <w:r w:rsidRPr="005532E8">
        <w:t>Environmental Assessment</w:t>
      </w:r>
      <w:r w:rsidRPr="00D93D6D">
        <w:t xml:space="preserve"> </w:t>
      </w:r>
      <w:r>
        <w:t xml:space="preserve">level </w:t>
      </w:r>
      <w:r w:rsidRPr="001F7A35">
        <w:t>ER</w:t>
      </w:r>
      <w:r>
        <w:t>.</w:t>
      </w:r>
    </w:p>
    <w:p w14:paraId="15EDEEBD" w14:textId="77777777" w:rsidR="00E920C1" w:rsidRDefault="00266632" w:rsidP="00E920C1">
      <w:pPr>
        <w:keepNext/>
      </w:pPr>
      <w:r w:rsidRPr="001F7A35">
        <w:rPr>
          <w:noProof/>
        </w:rPr>
        <w:drawing>
          <wp:inline distT="0" distB="0" distL="0" distR="0" wp14:anchorId="65F42378" wp14:editId="6201AC93">
            <wp:extent cx="6294914" cy="2637692"/>
            <wp:effectExtent l="0" t="0" r="0" b="0"/>
            <wp:docPr id="2135799061" name="Picture 1" descr="A calendar block showing the timeline of public engagement activities for an Environmental Assessment level ER. The public comment period begins the day after the public notice is published, and lasts for 15 days. Then the ER is Certified by the MAO. The objection period lasts for 15 days and the day after the ER Release letter is issued and effec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94443" name="Picture 1" descr="A calendar block showing the timeline of public engagement activities for an Environmental Assessment level ER. The public comment period begins the day after the public notice is published, and lasts for 15 days. Then the ER is Certified by the MAO. The objection period lasts for 15 days and the day after the ER Release letter is issued and effective."/>
                    <pic:cNvPicPr/>
                  </pic:nvPicPr>
                  <pic:blipFill>
                    <a:blip r:embed="rId25"/>
                    <a:stretch>
                      <a:fillRect/>
                    </a:stretch>
                  </pic:blipFill>
                  <pic:spPr>
                    <a:xfrm>
                      <a:off x="0" y="0"/>
                      <a:ext cx="6373738" cy="2670721"/>
                    </a:xfrm>
                    <a:prstGeom prst="rect">
                      <a:avLst/>
                    </a:prstGeom>
                  </pic:spPr>
                </pic:pic>
              </a:graphicData>
            </a:graphic>
          </wp:inline>
        </w:drawing>
      </w:r>
    </w:p>
    <w:p w14:paraId="1618E670" w14:textId="3DDE086C" w:rsidR="00266632" w:rsidRDefault="00E920C1" w:rsidP="00E920C1">
      <w:pPr>
        <w:pStyle w:val="Caption"/>
      </w:pPr>
      <w:r>
        <w:t xml:space="preserve">Figure </w:t>
      </w:r>
      <w:fldSimple w:instr=" SEQ Figure \* ARABIC ">
        <w:r>
          <w:rPr>
            <w:noProof/>
          </w:rPr>
          <w:t>2</w:t>
        </w:r>
      </w:fldSimple>
      <w:r>
        <w:t>: Public Notice Period for Assessment Projects</w:t>
      </w:r>
    </w:p>
    <w:p w14:paraId="39206479" w14:textId="20743CD2" w:rsidR="005B0E8D" w:rsidRPr="000F766C" w:rsidRDefault="005B0E8D" w:rsidP="000F766C">
      <w:pPr>
        <w:pStyle w:val="Heading2"/>
      </w:pPr>
      <w:r w:rsidRPr="000F766C">
        <w:t xml:space="preserve">ER Release Letter </w:t>
      </w:r>
      <w:r w:rsidR="009077B0">
        <w:t>and Conditions</w:t>
      </w:r>
    </w:p>
    <w:p w14:paraId="7B84C18E" w14:textId="4B3EC76C" w:rsidR="00711AB8" w:rsidRPr="000F766C" w:rsidRDefault="00711AB8" w:rsidP="00711AB8">
      <w:pPr>
        <w:rPr>
          <w:color w:val="auto"/>
        </w:rPr>
      </w:pPr>
      <w:r w:rsidRPr="000F766C">
        <w:rPr>
          <w:color w:val="auto"/>
        </w:rPr>
        <w:t>If no public comments or objections are made</w:t>
      </w:r>
      <w:r w:rsidR="009077B0" w:rsidRPr="000F766C">
        <w:rPr>
          <w:color w:val="auto"/>
        </w:rPr>
        <w:t xml:space="preserve"> during the designated periods</w:t>
      </w:r>
      <w:r w:rsidRPr="000F766C">
        <w:rPr>
          <w:color w:val="auto"/>
        </w:rPr>
        <w:t xml:space="preserve">, the ER Release </w:t>
      </w:r>
      <w:r w:rsidR="009077B0" w:rsidRPr="000F766C">
        <w:rPr>
          <w:color w:val="auto"/>
        </w:rPr>
        <w:t>l</w:t>
      </w:r>
      <w:r w:rsidRPr="000F766C">
        <w:rPr>
          <w:color w:val="auto"/>
        </w:rPr>
        <w:t>etter will be issued by the Environmental Officer. If</w:t>
      </w:r>
      <w:r w:rsidR="009077B0" w:rsidRPr="000F766C">
        <w:rPr>
          <w:color w:val="auto"/>
        </w:rPr>
        <w:t xml:space="preserve"> environmental review </w:t>
      </w:r>
      <w:r w:rsidRPr="000F766C">
        <w:rPr>
          <w:color w:val="auto"/>
        </w:rPr>
        <w:t>conditions are required, they will be identified in the letter</w:t>
      </w:r>
      <w:r w:rsidR="009077B0" w:rsidRPr="000F766C">
        <w:rPr>
          <w:color w:val="auto"/>
        </w:rPr>
        <w:t xml:space="preserve"> along with necessary steps and documentation required to </w:t>
      </w:r>
      <w:r w:rsidRPr="000F766C">
        <w:rPr>
          <w:color w:val="auto"/>
        </w:rPr>
        <w:t xml:space="preserve">satisfy the conditions. </w:t>
      </w:r>
      <w:r w:rsidR="009077B0" w:rsidRPr="000F766C">
        <w:rPr>
          <w:color w:val="auto"/>
        </w:rPr>
        <w:t xml:space="preserve">Condition documentation must be uploaded to the ERR on GEARS prior to grant closeout. </w:t>
      </w:r>
      <w:r w:rsidRPr="000F766C">
        <w:rPr>
          <w:color w:val="auto"/>
        </w:rPr>
        <w:t xml:space="preserve">Upon receipt of the ER Release </w:t>
      </w:r>
      <w:r w:rsidR="009077B0" w:rsidRPr="000F766C">
        <w:rPr>
          <w:color w:val="auto"/>
        </w:rPr>
        <w:t>l</w:t>
      </w:r>
      <w:r w:rsidRPr="000F766C">
        <w:rPr>
          <w:color w:val="auto"/>
        </w:rPr>
        <w:t xml:space="preserve">etter, the ER is complete and you may move forward with expending funds, signing contracts, and other choice limiting activities. </w:t>
      </w:r>
    </w:p>
    <w:p w14:paraId="0073F4D8" w14:textId="77777777" w:rsidR="00711AB8" w:rsidRPr="00711AB8" w:rsidRDefault="00711AB8" w:rsidP="00711AB8"/>
    <w:sectPr w:rsidR="00711AB8" w:rsidRPr="00711AB8" w:rsidSect="0067338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3D56F" w14:textId="77777777" w:rsidR="004B3F99" w:rsidRDefault="004B3F99" w:rsidP="0081663F">
      <w:pPr>
        <w:spacing w:after="0"/>
      </w:pPr>
      <w:r>
        <w:separator/>
      </w:r>
    </w:p>
  </w:endnote>
  <w:endnote w:type="continuationSeparator" w:id="0">
    <w:p w14:paraId="4B9AF912" w14:textId="77777777" w:rsidR="004B3F99" w:rsidRDefault="004B3F99" w:rsidP="00D4243C">
      <w:pPr>
        <w:spacing w:after="0"/>
      </w:pPr>
      <w:r>
        <w:continuationSeparator/>
      </w:r>
    </w:p>
    <w:p w14:paraId="1351FD09" w14:textId="77777777" w:rsidR="004B3F99" w:rsidRDefault="004B3F99"/>
    <w:p w14:paraId="4B64FF69" w14:textId="77777777" w:rsidR="004B3F99" w:rsidRDefault="004B3F99"/>
    <w:p w14:paraId="7CA7415F" w14:textId="77777777" w:rsidR="004B3F99" w:rsidRDefault="004B3F99"/>
    <w:p w14:paraId="3783DEBC" w14:textId="77777777" w:rsidR="004B3F99" w:rsidRDefault="004B3F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A62F5" w14:textId="4C385610" w:rsidR="00C1260E" w:rsidRPr="00852686" w:rsidRDefault="00C1260E" w:rsidP="006F3223">
    <w:pPr>
      <w:pStyle w:val="Footer"/>
      <w:tabs>
        <w:tab w:val="clear" w:pos="4680"/>
      </w:tabs>
    </w:pPr>
    <w:r w:rsidRPr="00852686">
      <w:rPr>
        <w:rStyle w:val="Bold"/>
        <w:b w:val="0"/>
        <w:bCs w:val="0"/>
      </w:rPr>
      <w:t xml:space="preserve">Page </w:t>
    </w:r>
    <w:r w:rsidRPr="00852686">
      <w:rPr>
        <w:rStyle w:val="Bold"/>
        <w:b w:val="0"/>
        <w:bCs w:val="0"/>
      </w:rPr>
      <w:fldChar w:fldCharType="begin"/>
    </w:r>
    <w:r w:rsidRPr="00852686">
      <w:rPr>
        <w:rStyle w:val="Bold"/>
        <w:b w:val="0"/>
        <w:bCs w:val="0"/>
      </w:rPr>
      <w:instrText xml:space="preserve"> PAGE   \* MERGEFORMAT </w:instrText>
    </w:r>
    <w:r w:rsidRPr="00852686">
      <w:rPr>
        <w:rStyle w:val="Bold"/>
        <w:b w:val="0"/>
        <w:bCs w:val="0"/>
      </w:rPr>
      <w:fldChar w:fldCharType="separate"/>
    </w:r>
    <w:r w:rsidRPr="00852686">
      <w:rPr>
        <w:rStyle w:val="Bold"/>
        <w:b w:val="0"/>
        <w:bCs w:val="0"/>
      </w:rPr>
      <w:t>1</w:t>
    </w:r>
    <w:r w:rsidRPr="00852686">
      <w:rPr>
        <w:rStyle w:val="Bold"/>
        <w:b w:val="0"/>
        <w:bCs w:val="0"/>
      </w:rPr>
      <w:fldChar w:fldCharType="end"/>
    </w:r>
    <w:r w:rsidR="00CD3E1A">
      <w:rPr>
        <w:rStyle w:val="Bold"/>
        <w:b w:val="0"/>
        <w:bCs w:val="0"/>
      </w:rPr>
      <w:tab/>
    </w:r>
    <w:r w:rsidR="004065CC">
      <w:rPr>
        <w:rStyle w:val="Bold"/>
        <w:b w:val="0"/>
        <w:bCs w:val="0"/>
      </w:rPr>
      <w:t xml:space="preserve"> August 202</w:t>
    </w:r>
    <w:r w:rsidR="00BA2F58">
      <w:rPr>
        <w:rStyle w:val="Bold"/>
        <w:b w:val="0"/>
        <w:bCs w:val="0"/>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700AD" w14:textId="77777777" w:rsidR="00AC3C0D" w:rsidRDefault="00AC3C0D" w:rsidP="00AC3C0D">
    <w:pPr>
      <w:pStyle w:val="Footer"/>
      <w:tabs>
        <w:tab w:val="clear" w:pos="4680"/>
      </w:tabs>
    </w:pPr>
    <w:r>
      <w:rPr>
        <w:rStyle w:val="Bold"/>
        <w:b w:val="0"/>
        <w:bCs w:val="0"/>
      </w:rPr>
      <w:tab/>
    </w:r>
    <w:r>
      <w:rPr>
        <w:noProof/>
      </w:rPr>
      <w:drawing>
        <wp:inline distT="0" distB="0" distL="0" distR="0" wp14:anchorId="60B73B71" wp14:editId="70703916">
          <wp:extent cx="2194560" cy="274320"/>
          <wp:effectExtent l="0" t="0" r="0" b="0"/>
          <wp:docPr id="767545383" name="Picture 767545383" descr="State of Vermont Moon Over Mountai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ate of Vermont Moon Over Mountains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94560" cy="27432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9FE63" w14:textId="77777777" w:rsidR="004B3F99" w:rsidRDefault="004B3F99" w:rsidP="006D725C">
      <w:pPr>
        <w:spacing w:after="0"/>
      </w:pPr>
      <w:r>
        <w:separator/>
      </w:r>
    </w:p>
  </w:footnote>
  <w:footnote w:type="continuationSeparator" w:id="0">
    <w:p w14:paraId="117E7D9C" w14:textId="77777777" w:rsidR="004B3F99" w:rsidRDefault="004B3F99" w:rsidP="00D4243C">
      <w:pPr>
        <w:spacing w:after="0"/>
      </w:pPr>
      <w:r>
        <w:continuationSeparator/>
      </w:r>
    </w:p>
    <w:p w14:paraId="3CA594FA" w14:textId="77777777" w:rsidR="004B3F99" w:rsidRDefault="004B3F99"/>
    <w:p w14:paraId="3751035A" w14:textId="77777777" w:rsidR="004B3F99" w:rsidRDefault="004B3F99"/>
    <w:p w14:paraId="39FA66F1" w14:textId="77777777" w:rsidR="004B3F99" w:rsidRDefault="004B3F99"/>
    <w:p w14:paraId="564BFDD2" w14:textId="77777777" w:rsidR="004B3F99" w:rsidRDefault="004B3F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2A96D" w14:textId="38A308E1" w:rsidR="0067338F" w:rsidRDefault="00406F35" w:rsidP="0067338F">
    <w:pPr>
      <w:pStyle w:val="Header"/>
      <w:tabs>
        <w:tab w:val="clear" w:pos="4680"/>
      </w:tabs>
      <w:rPr>
        <w:color w:val="auto"/>
      </w:rPr>
    </w:pPr>
    <w:r>
      <w:rPr>
        <w:color w:val="auto"/>
      </w:rPr>
      <w:t xml:space="preserve">Vermont Community Development Program </w:t>
    </w:r>
    <w:r>
      <w:rPr>
        <w:color w:val="auto"/>
      </w:rPr>
      <w:tab/>
    </w:r>
    <w:r w:rsidR="0067338F">
      <w:rPr>
        <w:color w:val="auto"/>
      </w:rPr>
      <w:t>Environmental Review Process Memo</w:t>
    </w:r>
  </w:p>
  <w:p w14:paraId="5997DACB" w14:textId="77777777" w:rsidR="00C1260E" w:rsidRPr="00450738" w:rsidRDefault="00000000" w:rsidP="006F4E06">
    <w:pPr>
      <w:pStyle w:val="Header"/>
      <w:spacing w:after="240"/>
    </w:pPr>
    <w:r>
      <w:pict w14:anchorId="5135F224">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B7A4E" w14:textId="77777777" w:rsidR="00B8237D" w:rsidRPr="00B97F85" w:rsidRDefault="00C67EE1" w:rsidP="00C67EE1">
    <w:pPr>
      <w:pStyle w:val="Normal-Centered-SpaceAfter"/>
    </w:pPr>
    <w:r>
      <w:rPr>
        <w:noProof/>
      </w:rPr>
      <w:drawing>
        <wp:inline distT="0" distB="0" distL="0" distR="0" wp14:anchorId="126EEEE2" wp14:editId="6E172B61">
          <wp:extent cx="1572767" cy="1828800"/>
          <wp:effectExtent l="0" t="0" r="8890" b="0"/>
          <wp:docPr id="1736416830" name="Picture 1" descr="State of Vermont full-color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638646" name="Picture 1" descr="State of Vermont full-color Coat of Arms."/>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2767" cy="1828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44090F0"/>
    <w:lvl w:ilvl="0">
      <w:start w:val="1"/>
      <w:numFmt w:val="decimal"/>
      <w:pStyle w:val="ListNumber4"/>
      <w:lvlText w:val="%1."/>
      <w:lvlJc w:val="left"/>
      <w:pPr>
        <w:tabs>
          <w:tab w:val="num" w:pos="1440"/>
        </w:tabs>
        <w:ind w:left="1440" w:hanging="360"/>
      </w:pPr>
    </w:lvl>
  </w:abstractNum>
  <w:abstractNum w:abstractNumId="1" w15:restartNumberingAfterBreak="0">
    <w:nsid w:val="017B034B"/>
    <w:multiLevelType w:val="hybridMultilevel"/>
    <w:tmpl w:val="18060F36"/>
    <w:lvl w:ilvl="0" w:tplc="B82E71C6">
      <w:start w:val="1"/>
      <w:numFmt w:val="decimal"/>
      <w:lvlText w:val="%1."/>
      <w:lvlJc w:val="left"/>
      <w:pPr>
        <w:ind w:left="720" w:hanging="360"/>
      </w:pPr>
    </w:lvl>
    <w:lvl w:ilvl="1" w:tplc="3166669E">
      <w:start w:val="1"/>
      <w:numFmt w:val="decimal"/>
      <w:lvlText w:val="%2."/>
      <w:lvlJc w:val="left"/>
      <w:pPr>
        <w:ind w:left="720" w:hanging="360"/>
      </w:pPr>
    </w:lvl>
    <w:lvl w:ilvl="2" w:tplc="4C968590">
      <w:start w:val="1"/>
      <w:numFmt w:val="decimal"/>
      <w:lvlText w:val="%3."/>
      <w:lvlJc w:val="left"/>
      <w:pPr>
        <w:ind w:left="720" w:hanging="360"/>
      </w:pPr>
    </w:lvl>
    <w:lvl w:ilvl="3" w:tplc="FB0EFA4A">
      <w:start w:val="1"/>
      <w:numFmt w:val="bullet"/>
      <w:lvlText w:val=""/>
      <w:lvlJc w:val="left"/>
      <w:pPr>
        <w:ind w:left="1440" w:hanging="360"/>
      </w:pPr>
      <w:rPr>
        <w:rFonts w:ascii="Symbol" w:hAnsi="Symbol"/>
      </w:rPr>
    </w:lvl>
    <w:lvl w:ilvl="4" w:tplc="FEFA6D68">
      <w:start w:val="1"/>
      <w:numFmt w:val="decimal"/>
      <w:lvlText w:val="%5."/>
      <w:lvlJc w:val="left"/>
      <w:pPr>
        <w:ind w:left="720" w:hanging="360"/>
      </w:pPr>
    </w:lvl>
    <w:lvl w:ilvl="5" w:tplc="AE405E16">
      <w:start w:val="1"/>
      <w:numFmt w:val="decimal"/>
      <w:lvlText w:val="%6."/>
      <w:lvlJc w:val="left"/>
      <w:pPr>
        <w:ind w:left="720" w:hanging="360"/>
      </w:pPr>
    </w:lvl>
    <w:lvl w:ilvl="6" w:tplc="07F6E154">
      <w:start w:val="1"/>
      <w:numFmt w:val="decimal"/>
      <w:lvlText w:val="%7."/>
      <w:lvlJc w:val="left"/>
      <w:pPr>
        <w:ind w:left="720" w:hanging="360"/>
      </w:pPr>
    </w:lvl>
    <w:lvl w:ilvl="7" w:tplc="09C06A16">
      <w:start w:val="1"/>
      <w:numFmt w:val="decimal"/>
      <w:lvlText w:val="%8."/>
      <w:lvlJc w:val="left"/>
      <w:pPr>
        <w:ind w:left="720" w:hanging="360"/>
      </w:pPr>
    </w:lvl>
    <w:lvl w:ilvl="8" w:tplc="34EA3B52">
      <w:start w:val="1"/>
      <w:numFmt w:val="decimal"/>
      <w:lvlText w:val="%9."/>
      <w:lvlJc w:val="left"/>
      <w:pPr>
        <w:ind w:left="720" w:hanging="360"/>
      </w:pPr>
    </w:lvl>
  </w:abstractNum>
  <w:abstractNum w:abstractNumId="2" w15:restartNumberingAfterBreak="0">
    <w:nsid w:val="0220229F"/>
    <w:multiLevelType w:val="hybridMultilevel"/>
    <w:tmpl w:val="82C65866"/>
    <w:lvl w:ilvl="0" w:tplc="C6EE254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7D5DA5"/>
    <w:multiLevelType w:val="hybridMultilevel"/>
    <w:tmpl w:val="773EE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143CCA"/>
    <w:multiLevelType w:val="hybridMultilevel"/>
    <w:tmpl w:val="87D8F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A67215"/>
    <w:multiLevelType w:val="hybridMultilevel"/>
    <w:tmpl w:val="186436EC"/>
    <w:lvl w:ilvl="0" w:tplc="5C9AFD70">
      <w:start w:val="1"/>
      <w:numFmt w:val="bullet"/>
      <w:pStyle w:val="ArrowsList"/>
      <w:lvlText w:val=""/>
      <w:lvlJc w:val="right"/>
      <w:pPr>
        <w:ind w:left="2160" w:hanging="360"/>
      </w:pPr>
      <w:rPr>
        <w:rFonts w:ascii="Wingdings 3" w:hAnsi="Wingdings 3" w:hint="default"/>
        <w:sz w:val="2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2D002104"/>
    <w:multiLevelType w:val="hybridMultilevel"/>
    <w:tmpl w:val="ACCEEA62"/>
    <w:lvl w:ilvl="0" w:tplc="795E6FA2">
      <w:start w:val="1"/>
      <w:numFmt w:val="decimal"/>
      <w:lvlText w:val="%1."/>
      <w:lvlJc w:val="left"/>
      <w:pPr>
        <w:ind w:left="720" w:hanging="360"/>
      </w:pPr>
    </w:lvl>
    <w:lvl w:ilvl="1" w:tplc="146E199A">
      <w:start w:val="1"/>
      <w:numFmt w:val="decimal"/>
      <w:lvlText w:val="%2."/>
      <w:lvlJc w:val="left"/>
      <w:pPr>
        <w:ind w:left="720" w:hanging="360"/>
      </w:pPr>
    </w:lvl>
    <w:lvl w:ilvl="2" w:tplc="6F7EBC96">
      <w:start w:val="1"/>
      <w:numFmt w:val="decimal"/>
      <w:lvlText w:val="%3."/>
      <w:lvlJc w:val="left"/>
      <w:pPr>
        <w:ind w:left="720" w:hanging="360"/>
      </w:pPr>
    </w:lvl>
    <w:lvl w:ilvl="3" w:tplc="376EC214">
      <w:start w:val="1"/>
      <w:numFmt w:val="bullet"/>
      <w:lvlText w:val=""/>
      <w:lvlJc w:val="left"/>
      <w:pPr>
        <w:ind w:left="1440" w:hanging="360"/>
      </w:pPr>
      <w:rPr>
        <w:rFonts w:ascii="Symbol" w:hAnsi="Symbol"/>
      </w:rPr>
    </w:lvl>
    <w:lvl w:ilvl="4" w:tplc="E6DAB5B8">
      <w:start w:val="1"/>
      <w:numFmt w:val="decimal"/>
      <w:lvlText w:val="%5."/>
      <w:lvlJc w:val="left"/>
      <w:pPr>
        <w:ind w:left="720" w:hanging="360"/>
      </w:pPr>
    </w:lvl>
    <w:lvl w:ilvl="5" w:tplc="C7106C88">
      <w:start w:val="1"/>
      <w:numFmt w:val="decimal"/>
      <w:lvlText w:val="%6."/>
      <w:lvlJc w:val="left"/>
      <w:pPr>
        <w:ind w:left="720" w:hanging="360"/>
      </w:pPr>
    </w:lvl>
    <w:lvl w:ilvl="6" w:tplc="050ACDBE">
      <w:start w:val="1"/>
      <w:numFmt w:val="decimal"/>
      <w:lvlText w:val="%7."/>
      <w:lvlJc w:val="left"/>
      <w:pPr>
        <w:ind w:left="720" w:hanging="360"/>
      </w:pPr>
    </w:lvl>
    <w:lvl w:ilvl="7" w:tplc="97C042A8">
      <w:start w:val="1"/>
      <w:numFmt w:val="decimal"/>
      <w:lvlText w:val="%8."/>
      <w:lvlJc w:val="left"/>
      <w:pPr>
        <w:ind w:left="720" w:hanging="360"/>
      </w:pPr>
    </w:lvl>
    <w:lvl w:ilvl="8" w:tplc="BD842856">
      <w:start w:val="1"/>
      <w:numFmt w:val="decimal"/>
      <w:lvlText w:val="%9."/>
      <w:lvlJc w:val="left"/>
      <w:pPr>
        <w:ind w:left="720" w:hanging="360"/>
      </w:pPr>
    </w:lvl>
  </w:abstractNum>
  <w:abstractNum w:abstractNumId="7" w15:restartNumberingAfterBreak="0">
    <w:nsid w:val="36604D18"/>
    <w:multiLevelType w:val="hybridMultilevel"/>
    <w:tmpl w:val="97B2F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B202CE"/>
    <w:multiLevelType w:val="hybridMultilevel"/>
    <w:tmpl w:val="D5E68B9A"/>
    <w:lvl w:ilvl="0" w:tplc="0D9ECD62">
      <w:numFmt w:val="bullet"/>
      <w:lvlText w:val=""/>
      <w:lvlJc w:val="left"/>
      <w:pPr>
        <w:ind w:left="720" w:hanging="360"/>
      </w:pPr>
      <w:rPr>
        <w:rFonts w:ascii="Wingdings" w:eastAsiaTheme="minorHAnsi" w:hAnsi="Wingdings"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945E36"/>
    <w:multiLevelType w:val="hybridMultilevel"/>
    <w:tmpl w:val="0632E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FA1655"/>
    <w:multiLevelType w:val="hybridMultilevel"/>
    <w:tmpl w:val="A5F66E62"/>
    <w:lvl w:ilvl="0" w:tplc="42401CB2">
      <w:start w:val="1"/>
      <w:numFmt w:val="bullet"/>
      <w:pStyle w:val="BulletedLis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7BF201F"/>
    <w:multiLevelType w:val="hybridMultilevel"/>
    <w:tmpl w:val="2DC40672"/>
    <w:lvl w:ilvl="0" w:tplc="758017D4">
      <w:start w:val="1"/>
      <w:numFmt w:val="decimal"/>
      <w:lvlText w:val="%1."/>
      <w:lvlJc w:val="left"/>
      <w:pPr>
        <w:ind w:left="720" w:hanging="360"/>
      </w:pPr>
    </w:lvl>
    <w:lvl w:ilvl="1" w:tplc="98BE1C12">
      <w:start w:val="1"/>
      <w:numFmt w:val="decimal"/>
      <w:lvlText w:val="%2."/>
      <w:lvlJc w:val="left"/>
      <w:pPr>
        <w:ind w:left="720" w:hanging="360"/>
      </w:pPr>
    </w:lvl>
    <w:lvl w:ilvl="2" w:tplc="4ED83600">
      <w:start w:val="1"/>
      <w:numFmt w:val="decimal"/>
      <w:lvlText w:val="%3."/>
      <w:lvlJc w:val="left"/>
      <w:pPr>
        <w:ind w:left="720" w:hanging="360"/>
      </w:pPr>
    </w:lvl>
    <w:lvl w:ilvl="3" w:tplc="A48C2094">
      <w:start w:val="1"/>
      <w:numFmt w:val="bullet"/>
      <w:lvlText w:val=""/>
      <w:lvlJc w:val="left"/>
      <w:pPr>
        <w:ind w:left="1440" w:hanging="360"/>
      </w:pPr>
      <w:rPr>
        <w:rFonts w:ascii="Symbol" w:hAnsi="Symbol"/>
      </w:rPr>
    </w:lvl>
    <w:lvl w:ilvl="4" w:tplc="CF4C4640">
      <w:start w:val="1"/>
      <w:numFmt w:val="decimal"/>
      <w:lvlText w:val="%5."/>
      <w:lvlJc w:val="left"/>
      <w:pPr>
        <w:ind w:left="720" w:hanging="360"/>
      </w:pPr>
    </w:lvl>
    <w:lvl w:ilvl="5" w:tplc="65F85B9C">
      <w:start w:val="1"/>
      <w:numFmt w:val="decimal"/>
      <w:lvlText w:val="%6."/>
      <w:lvlJc w:val="left"/>
      <w:pPr>
        <w:ind w:left="720" w:hanging="360"/>
      </w:pPr>
    </w:lvl>
    <w:lvl w:ilvl="6" w:tplc="C3424E9A">
      <w:start w:val="1"/>
      <w:numFmt w:val="decimal"/>
      <w:lvlText w:val="%7."/>
      <w:lvlJc w:val="left"/>
      <w:pPr>
        <w:ind w:left="720" w:hanging="360"/>
      </w:pPr>
    </w:lvl>
    <w:lvl w:ilvl="7" w:tplc="F4A06974">
      <w:start w:val="1"/>
      <w:numFmt w:val="decimal"/>
      <w:lvlText w:val="%8."/>
      <w:lvlJc w:val="left"/>
      <w:pPr>
        <w:ind w:left="720" w:hanging="360"/>
      </w:pPr>
    </w:lvl>
    <w:lvl w:ilvl="8" w:tplc="00CC0056">
      <w:start w:val="1"/>
      <w:numFmt w:val="decimal"/>
      <w:lvlText w:val="%9."/>
      <w:lvlJc w:val="left"/>
      <w:pPr>
        <w:ind w:left="720" w:hanging="360"/>
      </w:pPr>
    </w:lvl>
  </w:abstractNum>
  <w:abstractNum w:abstractNumId="12" w15:restartNumberingAfterBreak="0">
    <w:nsid w:val="7C7151BF"/>
    <w:multiLevelType w:val="hybridMultilevel"/>
    <w:tmpl w:val="84AC5204"/>
    <w:lvl w:ilvl="0" w:tplc="BD68B1C4">
      <w:start w:val="1"/>
      <w:numFmt w:val="decimal"/>
      <w:lvlText w:val="%1."/>
      <w:lvlJc w:val="left"/>
      <w:pPr>
        <w:ind w:left="720" w:hanging="360"/>
      </w:pPr>
    </w:lvl>
    <w:lvl w:ilvl="1" w:tplc="60F04394">
      <w:start w:val="1"/>
      <w:numFmt w:val="decimal"/>
      <w:lvlText w:val="%2."/>
      <w:lvlJc w:val="left"/>
      <w:pPr>
        <w:ind w:left="720" w:hanging="360"/>
      </w:pPr>
    </w:lvl>
    <w:lvl w:ilvl="2" w:tplc="DFF426BA">
      <w:start w:val="1"/>
      <w:numFmt w:val="decimal"/>
      <w:lvlText w:val="%3."/>
      <w:lvlJc w:val="left"/>
      <w:pPr>
        <w:ind w:left="720" w:hanging="360"/>
      </w:pPr>
    </w:lvl>
    <w:lvl w:ilvl="3" w:tplc="1B028752">
      <w:start w:val="1"/>
      <w:numFmt w:val="decimal"/>
      <w:lvlText w:val="%4."/>
      <w:lvlJc w:val="left"/>
      <w:pPr>
        <w:ind w:left="720" w:hanging="360"/>
      </w:pPr>
    </w:lvl>
    <w:lvl w:ilvl="4" w:tplc="E5C42A50">
      <w:start w:val="1"/>
      <w:numFmt w:val="decimal"/>
      <w:lvlText w:val="%5."/>
      <w:lvlJc w:val="left"/>
      <w:pPr>
        <w:ind w:left="720" w:hanging="360"/>
      </w:pPr>
    </w:lvl>
    <w:lvl w:ilvl="5" w:tplc="8EE8D8B2">
      <w:start w:val="1"/>
      <w:numFmt w:val="decimal"/>
      <w:lvlText w:val="%6."/>
      <w:lvlJc w:val="left"/>
      <w:pPr>
        <w:ind w:left="720" w:hanging="360"/>
      </w:pPr>
    </w:lvl>
    <w:lvl w:ilvl="6" w:tplc="C0E8373C">
      <w:start w:val="1"/>
      <w:numFmt w:val="decimal"/>
      <w:lvlText w:val="%7."/>
      <w:lvlJc w:val="left"/>
      <w:pPr>
        <w:ind w:left="720" w:hanging="360"/>
      </w:pPr>
    </w:lvl>
    <w:lvl w:ilvl="7" w:tplc="4CF48D5C">
      <w:start w:val="1"/>
      <w:numFmt w:val="decimal"/>
      <w:lvlText w:val="%8."/>
      <w:lvlJc w:val="left"/>
      <w:pPr>
        <w:ind w:left="720" w:hanging="360"/>
      </w:pPr>
    </w:lvl>
    <w:lvl w:ilvl="8" w:tplc="8ED62056">
      <w:start w:val="1"/>
      <w:numFmt w:val="decimal"/>
      <w:lvlText w:val="%9."/>
      <w:lvlJc w:val="left"/>
      <w:pPr>
        <w:ind w:left="720" w:hanging="360"/>
      </w:pPr>
    </w:lvl>
  </w:abstractNum>
  <w:num w:numId="1" w16cid:durableId="1561209168">
    <w:abstractNumId w:val="10"/>
  </w:num>
  <w:num w:numId="2" w16cid:durableId="996498818">
    <w:abstractNumId w:val="5"/>
  </w:num>
  <w:num w:numId="3" w16cid:durableId="1037466287">
    <w:abstractNumId w:val="0"/>
  </w:num>
  <w:num w:numId="4" w16cid:durableId="1841653153">
    <w:abstractNumId w:val="12"/>
  </w:num>
  <w:num w:numId="5" w16cid:durableId="260914237">
    <w:abstractNumId w:val="1"/>
  </w:num>
  <w:num w:numId="6" w16cid:durableId="1981106980">
    <w:abstractNumId w:val="6"/>
  </w:num>
  <w:num w:numId="7" w16cid:durableId="643001769">
    <w:abstractNumId w:val="11"/>
  </w:num>
  <w:num w:numId="8" w16cid:durableId="2123189656">
    <w:abstractNumId w:val="4"/>
  </w:num>
  <w:num w:numId="9" w16cid:durableId="326713620">
    <w:abstractNumId w:val="9"/>
  </w:num>
  <w:num w:numId="10" w16cid:durableId="1644506953">
    <w:abstractNumId w:val="7"/>
  </w:num>
  <w:num w:numId="11" w16cid:durableId="499080528">
    <w:abstractNumId w:val="3"/>
  </w:num>
  <w:num w:numId="12" w16cid:durableId="1241207763">
    <w:abstractNumId w:val="8"/>
  </w:num>
  <w:num w:numId="13" w16cid:durableId="348722996">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D28"/>
    <w:rsid w:val="00003234"/>
    <w:rsid w:val="00010720"/>
    <w:rsid w:val="00010F80"/>
    <w:rsid w:val="0001160F"/>
    <w:rsid w:val="000157BD"/>
    <w:rsid w:val="00016C73"/>
    <w:rsid w:val="00017C67"/>
    <w:rsid w:val="00024B89"/>
    <w:rsid w:val="000262DE"/>
    <w:rsid w:val="00027DA3"/>
    <w:rsid w:val="00034426"/>
    <w:rsid w:val="000526B1"/>
    <w:rsid w:val="00054B92"/>
    <w:rsid w:val="000558E0"/>
    <w:rsid w:val="00055D46"/>
    <w:rsid w:val="00057C2F"/>
    <w:rsid w:val="000667E8"/>
    <w:rsid w:val="000761BB"/>
    <w:rsid w:val="00095F96"/>
    <w:rsid w:val="000A5B6D"/>
    <w:rsid w:val="000B0418"/>
    <w:rsid w:val="000B442F"/>
    <w:rsid w:val="000C3E3F"/>
    <w:rsid w:val="000D4856"/>
    <w:rsid w:val="000F0433"/>
    <w:rsid w:val="000F75CC"/>
    <w:rsid w:val="000F766C"/>
    <w:rsid w:val="00103C07"/>
    <w:rsid w:val="00104882"/>
    <w:rsid w:val="00105254"/>
    <w:rsid w:val="00113B48"/>
    <w:rsid w:val="00116DAB"/>
    <w:rsid w:val="00131B87"/>
    <w:rsid w:val="00131DA2"/>
    <w:rsid w:val="001351FB"/>
    <w:rsid w:val="00154CB2"/>
    <w:rsid w:val="001661D1"/>
    <w:rsid w:val="00180316"/>
    <w:rsid w:val="001812FB"/>
    <w:rsid w:val="00192F40"/>
    <w:rsid w:val="00195544"/>
    <w:rsid w:val="00197F4D"/>
    <w:rsid w:val="001A36E2"/>
    <w:rsid w:val="001B382B"/>
    <w:rsid w:val="001B766A"/>
    <w:rsid w:val="001C0DC5"/>
    <w:rsid w:val="001C39B8"/>
    <w:rsid w:val="001D0ACA"/>
    <w:rsid w:val="001D1A83"/>
    <w:rsid w:val="001D1D1C"/>
    <w:rsid w:val="001D5F4F"/>
    <w:rsid w:val="001F2223"/>
    <w:rsid w:val="00203970"/>
    <w:rsid w:val="0021523F"/>
    <w:rsid w:val="00227FB0"/>
    <w:rsid w:val="00234130"/>
    <w:rsid w:val="002554D5"/>
    <w:rsid w:val="002647CC"/>
    <w:rsid w:val="00266632"/>
    <w:rsid w:val="00270678"/>
    <w:rsid w:val="00283571"/>
    <w:rsid w:val="002865E0"/>
    <w:rsid w:val="00292973"/>
    <w:rsid w:val="002A1C93"/>
    <w:rsid w:val="002A3911"/>
    <w:rsid w:val="002B177F"/>
    <w:rsid w:val="002C4527"/>
    <w:rsid w:val="002C7100"/>
    <w:rsid w:val="002C7EDC"/>
    <w:rsid w:val="002E57C3"/>
    <w:rsid w:val="002F08A4"/>
    <w:rsid w:val="002F390D"/>
    <w:rsid w:val="002F44B8"/>
    <w:rsid w:val="00304D57"/>
    <w:rsid w:val="0032041C"/>
    <w:rsid w:val="00321453"/>
    <w:rsid w:val="00337088"/>
    <w:rsid w:val="003418F2"/>
    <w:rsid w:val="00345448"/>
    <w:rsid w:val="003503DC"/>
    <w:rsid w:val="003547EE"/>
    <w:rsid w:val="0036556D"/>
    <w:rsid w:val="0037430A"/>
    <w:rsid w:val="003823C7"/>
    <w:rsid w:val="00383CFE"/>
    <w:rsid w:val="003B7C42"/>
    <w:rsid w:val="003D0EC4"/>
    <w:rsid w:val="003D463B"/>
    <w:rsid w:val="003D47B4"/>
    <w:rsid w:val="003E3445"/>
    <w:rsid w:val="003E46E3"/>
    <w:rsid w:val="0040392E"/>
    <w:rsid w:val="0040396B"/>
    <w:rsid w:val="004065CC"/>
    <w:rsid w:val="00406F35"/>
    <w:rsid w:val="00412CF8"/>
    <w:rsid w:val="00423C09"/>
    <w:rsid w:val="004244AF"/>
    <w:rsid w:val="0042660A"/>
    <w:rsid w:val="00430325"/>
    <w:rsid w:val="004313C3"/>
    <w:rsid w:val="00431D28"/>
    <w:rsid w:val="00450738"/>
    <w:rsid w:val="004652E2"/>
    <w:rsid w:val="00467D01"/>
    <w:rsid w:val="00476B73"/>
    <w:rsid w:val="00484617"/>
    <w:rsid w:val="00484AC4"/>
    <w:rsid w:val="0048791B"/>
    <w:rsid w:val="00492577"/>
    <w:rsid w:val="004A1495"/>
    <w:rsid w:val="004B12C6"/>
    <w:rsid w:val="004B3F99"/>
    <w:rsid w:val="004B5501"/>
    <w:rsid w:val="004C0660"/>
    <w:rsid w:val="004C504F"/>
    <w:rsid w:val="004C5F5E"/>
    <w:rsid w:val="004C78A7"/>
    <w:rsid w:val="004E5F9C"/>
    <w:rsid w:val="004F0652"/>
    <w:rsid w:val="004F1030"/>
    <w:rsid w:val="004F3D18"/>
    <w:rsid w:val="004F78F9"/>
    <w:rsid w:val="004F7E0F"/>
    <w:rsid w:val="00505EC3"/>
    <w:rsid w:val="00514324"/>
    <w:rsid w:val="00525D2A"/>
    <w:rsid w:val="00536A86"/>
    <w:rsid w:val="005427A8"/>
    <w:rsid w:val="00547C4B"/>
    <w:rsid w:val="005510C1"/>
    <w:rsid w:val="00552C67"/>
    <w:rsid w:val="00563FE0"/>
    <w:rsid w:val="005837EE"/>
    <w:rsid w:val="005901FD"/>
    <w:rsid w:val="00596DF1"/>
    <w:rsid w:val="005A4929"/>
    <w:rsid w:val="005A7FCB"/>
    <w:rsid w:val="005B0D93"/>
    <w:rsid w:val="005B0E8D"/>
    <w:rsid w:val="005D2700"/>
    <w:rsid w:val="005F138A"/>
    <w:rsid w:val="005F1BCD"/>
    <w:rsid w:val="005F2266"/>
    <w:rsid w:val="005F433D"/>
    <w:rsid w:val="005F4C40"/>
    <w:rsid w:val="006006BC"/>
    <w:rsid w:val="00612899"/>
    <w:rsid w:val="00612E4E"/>
    <w:rsid w:val="006317A6"/>
    <w:rsid w:val="0063478A"/>
    <w:rsid w:val="00635F47"/>
    <w:rsid w:val="006433E6"/>
    <w:rsid w:val="00644A01"/>
    <w:rsid w:val="006458DD"/>
    <w:rsid w:val="006506AB"/>
    <w:rsid w:val="006524C3"/>
    <w:rsid w:val="00653A4E"/>
    <w:rsid w:val="006610AF"/>
    <w:rsid w:val="006637E5"/>
    <w:rsid w:val="00672943"/>
    <w:rsid w:val="0067338F"/>
    <w:rsid w:val="00677231"/>
    <w:rsid w:val="00682CFB"/>
    <w:rsid w:val="00684F11"/>
    <w:rsid w:val="006A2F76"/>
    <w:rsid w:val="006A7F30"/>
    <w:rsid w:val="006B1245"/>
    <w:rsid w:val="006B4CF8"/>
    <w:rsid w:val="006B54F8"/>
    <w:rsid w:val="006C4BFC"/>
    <w:rsid w:val="006C52CE"/>
    <w:rsid w:val="006D0E00"/>
    <w:rsid w:val="006D725C"/>
    <w:rsid w:val="006E5013"/>
    <w:rsid w:val="006E62AF"/>
    <w:rsid w:val="006F0245"/>
    <w:rsid w:val="006F3223"/>
    <w:rsid w:val="006F4E06"/>
    <w:rsid w:val="00705BBE"/>
    <w:rsid w:val="00711AB8"/>
    <w:rsid w:val="00735E78"/>
    <w:rsid w:val="007442C7"/>
    <w:rsid w:val="0074478A"/>
    <w:rsid w:val="007517F1"/>
    <w:rsid w:val="007631D8"/>
    <w:rsid w:val="007652E1"/>
    <w:rsid w:val="00780575"/>
    <w:rsid w:val="00780A53"/>
    <w:rsid w:val="007816D2"/>
    <w:rsid w:val="007845C8"/>
    <w:rsid w:val="007875B5"/>
    <w:rsid w:val="00790544"/>
    <w:rsid w:val="007A3AF1"/>
    <w:rsid w:val="007B0A10"/>
    <w:rsid w:val="007B534D"/>
    <w:rsid w:val="007D5FF6"/>
    <w:rsid w:val="007E47A9"/>
    <w:rsid w:val="007E6273"/>
    <w:rsid w:val="007F1FF3"/>
    <w:rsid w:val="007F439B"/>
    <w:rsid w:val="00801150"/>
    <w:rsid w:val="0081663F"/>
    <w:rsid w:val="0084404C"/>
    <w:rsid w:val="00852686"/>
    <w:rsid w:val="00862ED0"/>
    <w:rsid w:val="00882A71"/>
    <w:rsid w:val="00883321"/>
    <w:rsid w:val="008B1A3B"/>
    <w:rsid w:val="008C6372"/>
    <w:rsid w:val="008C6F58"/>
    <w:rsid w:val="008D06B2"/>
    <w:rsid w:val="008D5BFB"/>
    <w:rsid w:val="008D63A8"/>
    <w:rsid w:val="008E5875"/>
    <w:rsid w:val="008F0EAB"/>
    <w:rsid w:val="008F3A07"/>
    <w:rsid w:val="008F4AEB"/>
    <w:rsid w:val="008F5B47"/>
    <w:rsid w:val="008F769E"/>
    <w:rsid w:val="00906616"/>
    <w:rsid w:val="009077B0"/>
    <w:rsid w:val="00910884"/>
    <w:rsid w:val="00923657"/>
    <w:rsid w:val="00925BC5"/>
    <w:rsid w:val="00961018"/>
    <w:rsid w:val="00976027"/>
    <w:rsid w:val="009845EB"/>
    <w:rsid w:val="00984BBB"/>
    <w:rsid w:val="0098635B"/>
    <w:rsid w:val="009C0017"/>
    <w:rsid w:val="009C407C"/>
    <w:rsid w:val="009C44CA"/>
    <w:rsid w:val="009D34E2"/>
    <w:rsid w:val="009D75DB"/>
    <w:rsid w:val="009F7E3F"/>
    <w:rsid w:val="00A020FC"/>
    <w:rsid w:val="00A02257"/>
    <w:rsid w:val="00A04C91"/>
    <w:rsid w:val="00A22EF2"/>
    <w:rsid w:val="00A265B5"/>
    <w:rsid w:val="00A3324C"/>
    <w:rsid w:val="00A4738A"/>
    <w:rsid w:val="00A475B7"/>
    <w:rsid w:val="00A54087"/>
    <w:rsid w:val="00A600FA"/>
    <w:rsid w:val="00A63D1B"/>
    <w:rsid w:val="00A82736"/>
    <w:rsid w:val="00A83A68"/>
    <w:rsid w:val="00A92AA0"/>
    <w:rsid w:val="00A971AA"/>
    <w:rsid w:val="00AA1FE2"/>
    <w:rsid w:val="00AA4A72"/>
    <w:rsid w:val="00AB6785"/>
    <w:rsid w:val="00AC33E4"/>
    <w:rsid w:val="00AC3C0D"/>
    <w:rsid w:val="00AC69E0"/>
    <w:rsid w:val="00AD4170"/>
    <w:rsid w:val="00AD45AE"/>
    <w:rsid w:val="00AD6E47"/>
    <w:rsid w:val="00AD7FAE"/>
    <w:rsid w:val="00AE01FB"/>
    <w:rsid w:val="00AE635A"/>
    <w:rsid w:val="00B02648"/>
    <w:rsid w:val="00B06FE5"/>
    <w:rsid w:val="00B1293F"/>
    <w:rsid w:val="00B2453F"/>
    <w:rsid w:val="00B31183"/>
    <w:rsid w:val="00B37DEC"/>
    <w:rsid w:val="00B45FA7"/>
    <w:rsid w:val="00B47B2D"/>
    <w:rsid w:val="00B50B81"/>
    <w:rsid w:val="00B5281E"/>
    <w:rsid w:val="00B55A93"/>
    <w:rsid w:val="00B81ECF"/>
    <w:rsid w:val="00B8237D"/>
    <w:rsid w:val="00B90E85"/>
    <w:rsid w:val="00B97F85"/>
    <w:rsid w:val="00BA1435"/>
    <w:rsid w:val="00BA1722"/>
    <w:rsid w:val="00BA1778"/>
    <w:rsid w:val="00BA2F58"/>
    <w:rsid w:val="00BA5DBA"/>
    <w:rsid w:val="00BA7E36"/>
    <w:rsid w:val="00BC0369"/>
    <w:rsid w:val="00BC49E5"/>
    <w:rsid w:val="00BC7554"/>
    <w:rsid w:val="00BC7E28"/>
    <w:rsid w:val="00BD601D"/>
    <w:rsid w:val="00BE1838"/>
    <w:rsid w:val="00C1260E"/>
    <w:rsid w:val="00C15F54"/>
    <w:rsid w:val="00C17315"/>
    <w:rsid w:val="00C22429"/>
    <w:rsid w:val="00C40AA1"/>
    <w:rsid w:val="00C43816"/>
    <w:rsid w:val="00C44124"/>
    <w:rsid w:val="00C50025"/>
    <w:rsid w:val="00C501FC"/>
    <w:rsid w:val="00C64898"/>
    <w:rsid w:val="00C67EE1"/>
    <w:rsid w:val="00C67F11"/>
    <w:rsid w:val="00C74368"/>
    <w:rsid w:val="00C80F0C"/>
    <w:rsid w:val="00C91145"/>
    <w:rsid w:val="00C94586"/>
    <w:rsid w:val="00CA1F0E"/>
    <w:rsid w:val="00CA4357"/>
    <w:rsid w:val="00CB1EA5"/>
    <w:rsid w:val="00CB30C4"/>
    <w:rsid w:val="00CB5525"/>
    <w:rsid w:val="00CC43AD"/>
    <w:rsid w:val="00CC7E8F"/>
    <w:rsid w:val="00CD3E1A"/>
    <w:rsid w:val="00CF348A"/>
    <w:rsid w:val="00CF4138"/>
    <w:rsid w:val="00CF4D6A"/>
    <w:rsid w:val="00CF686B"/>
    <w:rsid w:val="00CF7D30"/>
    <w:rsid w:val="00D036BA"/>
    <w:rsid w:val="00D122AC"/>
    <w:rsid w:val="00D20B18"/>
    <w:rsid w:val="00D22287"/>
    <w:rsid w:val="00D3085E"/>
    <w:rsid w:val="00D4243C"/>
    <w:rsid w:val="00D42F35"/>
    <w:rsid w:val="00D608EF"/>
    <w:rsid w:val="00D620D1"/>
    <w:rsid w:val="00D66282"/>
    <w:rsid w:val="00D73540"/>
    <w:rsid w:val="00D73F0A"/>
    <w:rsid w:val="00D813A0"/>
    <w:rsid w:val="00D83240"/>
    <w:rsid w:val="00D85455"/>
    <w:rsid w:val="00D85859"/>
    <w:rsid w:val="00D922E1"/>
    <w:rsid w:val="00D93D6D"/>
    <w:rsid w:val="00D9679F"/>
    <w:rsid w:val="00DA72CE"/>
    <w:rsid w:val="00DB77B4"/>
    <w:rsid w:val="00DC01B8"/>
    <w:rsid w:val="00DD726D"/>
    <w:rsid w:val="00DE474D"/>
    <w:rsid w:val="00DF1D13"/>
    <w:rsid w:val="00DF2EDF"/>
    <w:rsid w:val="00DF334B"/>
    <w:rsid w:val="00E004A0"/>
    <w:rsid w:val="00E043D0"/>
    <w:rsid w:val="00E04870"/>
    <w:rsid w:val="00E0780A"/>
    <w:rsid w:val="00E10D53"/>
    <w:rsid w:val="00E1161F"/>
    <w:rsid w:val="00E1560B"/>
    <w:rsid w:val="00E2176E"/>
    <w:rsid w:val="00E368C0"/>
    <w:rsid w:val="00E4314A"/>
    <w:rsid w:val="00E43835"/>
    <w:rsid w:val="00E46A8A"/>
    <w:rsid w:val="00E54689"/>
    <w:rsid w:val="00E614D9"/>
    <w:rsid w:val="00E76BDB"/>
    <w:rsid w:val="00E904D2"/>
    <w:rsid w:val="00E920C1"/>
    <w:rsid w:val="00E93ED9"/>
    <w:rsid w:val="00EA2F2E"/>
    <w:rsid w:val="00EA5182"/>
    <w:rsid w:val="00EA7E1D"/>
    <w:rsid w:val="00EB33AF"/>
    <w:rsid w:val="00EC2106"/>
    <w:rsid w:val="00EC59B1"/>
    <w:rsid w:val="00EC5EA4"/>
    <w:rsid w:val="00EC62F2"/>
    <w:rsid w:val="00ED3FFB"/>
    <w:rsid w:val="00EF3E5C"/>
    <w:rsid w:val="00F01EAA"/>
    <w:rsid w:val="00F03DEE"/>
    <w:rsid w:val="00F103DC"/>
    <w:rsid w:val="00F14AC9"/>
    <w:rsid w:val="00F14DF4"/>
    <w:rsid w:val="00F41E27"/>
    <w:rsid w:val="00F44BF0"/>
    <w:rsid w:val="00F450F6"/>
    <w:rsid w:val="00F47055"/>
    <w:rsid w:val="00F4780E"/>
    <w:rsid w:val="00F54077"/>
    <w:rsid w:val="00F701FE"/>
    <w:rsid w:val="00F7173B"/>
    <w:rsid w:val="00F75B86"/>
    <w:rsid w:val="00F779AF"/>
    <w:rsid w:val="00F86FEB"/>
    <w:rsid w:val="00F91523"/>
    <w:rsid w:val="00F94A22"/>
    <w:rsid w:val="00F95F3F"/>
    <w:rsid w:val="00F967F5"/>
    <w:rsid w:val="00FA078E"/>
    <w:rsid w:val="00FA0851"/>
    <w:rsid w:val="00FA2ACE"/>
    <w:rsid w:val="00FB1E14"/>
    <w:rsid w:val="00FB6311"/>
    <w:rsid w:val="00FB6AD9"/>
    <w:rsid w:val="00FC24B4"/>
    <w:rsid w:val="00FC7331"/>
    <w:rsid w:val="00FD7374"/>
    <w:rsid w:val="00FE0D6D"/>
    <w:rsid w:val="00FE5E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D83395"/>
  <w15:chartTrackingRefBased/>
  <w15:docId w15:val="{79ACFCB5-6381-458F-BFA6-521D0B56C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8E0"/>
    <w:pPr>
      <w:spacing w:after="240" w:line="240" w:lineRule="auto"/>
    </w:pPr>
    <w:rPr>
      <w:color w:val="303030" w:themeColor="text2"/>
    </w:rPr>
  </w:style>
  <w:style w:type="paragraph" w:styleId="Heading1">
    <w:name w:val="heading 1"/>
    <w:basedOn w:val="Normal"/>
    <w:next w:val="Normal"/>
    <w:link w:val="Heading1Char"/>
    <w:uiPriority w:val="9"/>
    <w:qFormat/>
    <w:rsid w:val="008B1A3B"/>
    <w:pPr>
      <w:keepNext/>
      <w:spacing w:line="600" w:lineRule="exact"/>
      <w:outlineLvl w:val="0"/>
    </w:pPr>
    <w:rPr>
      <w:sz w:val="52"/>
      <w:szCs w:val="56"/>
    </w:rPr>
  </w:style>
  <w:style w:type="paragraph" w:styleId="Heading2">
    <w:name w:val="heading 2"/>
    <w:next w:val="Normal"/>
    <w:link w:val="Heading2Char"/>
    <w:uiPriority w:val="9"/>
    <w:unhideWhenUsed/>
    <w:qFormat/>
    <w:rsid w:val="004C0660"/>
    <w:pPr>
      <w:keepNext/>
      <w:spacing w:before="240"/>
      <w:outlineLvl w:val="1"/>
    </w:pPr>
    <w:rPr>
      <w:color w:val="303030" w:themeColor="text2"/>
      <w:sz w:val="44"/>
    </w:rPr>
  </w:style>
  <w:style w:type="paragraph" w:styleId="Heading3">
    <w:name w:val="heading 3"/>
    <w:next w:val="Normal"/>
    <w:link w:val="Heading3Char"/>
    <w:uiPriority w:val="9"/>
    <w:unhideWhenUsed/>
    <w:qFormat/>
    <w:rsid w:val="008B1A3B"/>
    <w:pPr>
      <w:keepNext/>
      <w:pBdr>
        <w:top w:val="single" w:sz="36" w:space="5" w:color="007935" w:themeColor="accent1"/>
      </w:pBdr>
      <w:spacing w:before="360" w:after="240"/>
      <w:outlineLvl w:val="2"/>
    </w:pPr>
    <w:rPr>
      <w:color w:val="007935" w:themeColor="accent1"/>
      <w:sz w:val="32"/>
    </w:rPr>
  </w:style>
  <w:style w:type="paragraph" w:styleId="Heading4">
    <w:name w:val="heading 4"/>
    <w:next w:val="Normal"/>
    <w:link w:val="Heading4Char"/>
    <w:uiPriority w:val="9"/>
    <w:unhideWhenUsed/>
    <w:qFormat/>
    <w:rsid w:val="008B1A3B"/>
    <w:pPr>
      <w:keepNext/>
      <w:spacing w:before="360"/>
      <w:ind w:left="720"/>
      <w:outlineLvl w:val="3"/>
    </w:pPr>
    <w:rPr>
      <w:b/>
      <w:color w:val="303030" w:themeColor="text2"/>
      <w:sz w:val="32"/>
    </w:rPr>
  </w:style>
  <w:style w:type="paragraph" w:styleId="Heading5">
    <w:name w:val="heading 5"/>
    <w:next w:val="Normal"/>
    <w:link w:val="Heading5Char"/>
    <w:uiPriority w:val="9"/>
    <w:unhideWhenUsed/>
    <w:qFormat/>
    <w:rsid w:val="008B1A3B"/>
    <w:pPr>
      <w:keepNext/>
      <w:pBdr>
        <w:top w:val="single" w:sz="18" w:space="5" w:color="007935" w:themeColor="accent1"/>
      </w:pBdr>
      <w:spacing w:before="360"/>
      <w:ind w:left="1440"/>
      <w:outlineLvl w:val="4"/>
    </w:pPr>
    <w:rPr>
      <w:bCs/>
      <w:color w:val="007935" w:themeColor="accent1"/>
      <w:spacing w:val="8"/>
      <w:sz w:val="28"/>
      <w:szCs w:val="18"/>
    </w:rPr>
  </w:style>
  <w:style w:type="paragraph" w:styleId="Heading6">
    <w:name w:val="heading 6"/>
    <w:next w:val="Normal"/>
    <w:link w:val="Heading6Char"/>
    <w:uiPriority w:val="9"/>
    <w:unhideWhenUsed/>
    <w:rsid w:val="008B1A3B"/>
    <w:pPr>
      <w:keepNext/>
      <w:spacing w:before="240" w:after="120"/>
      <w:ind w:left="1440"/>
      <w:outlineLvl w:val="5"/>
    </w:pPr>
    <w:rPr>
      <w:rFonts w:eastAsiaTheme="majorEastAsia" w:cstheme="majorBidi"/>
      <w:b/>
      <w:color w:val="303030" w:themeColor="text1"/>
      <w:sz w:val="28"/>
      <w:szCs w:val="32"/>
    </w:rPr>
  </w:style>
  <w:style w:type="paragraph" w:styleId="Heading7">
    <w:name w:val="heading 7"/>
    <w:basedOn w:val="Normal"/>
    <w:next w:val="Normal"/>
    <w:link w:val="Heading7Char"/>
    <w:uiPriority w:val="9"/>
    <w:unhideWhenUsed/>
    <w:rsid w:val="008B1A3B"/>
    <w:pPr>
      <w:keepNext/>
      <w:keepLines/>
      <w:spacing w:before="360" w:after="120"/>
      <w:ind w:left="2160"/>
      <w:outlineLvl w:val="6"/>
    </w:pPr>
    <w:rPr>
      <w:rFonts w:eastAsiaTheme="majorEastAsia" w:cstheme="majorBidi"/>
      <w:iCs/>
      <w:color w:val="303030" w:themeColor="text1"/>
      <w:sz w:val="28"/>
    </w:rPr>
  </w:style>
  <w:style w:type="paragraph" w:styleId="Heading8">
    <w:name w:val="heading 8"/>
    <w:basedOn w:val="Normal"/>
    <w:next w:val="Normal"/>
    <w:link w:val="Heading8Char"/>
    <w:uiPriority w:val="9"/>
    <w:unhideWhenUsed/>
    <w:qFormat/>
    <w:rsid w:val="008B1A3B"/>
    <w:pPr>
      <w:keepNext/>
      <w:keepLines/>
      <w:spacing w:before="360" w:after="120"/>
      <w:ind w:left="2160"/>
      <w:outlineLvl w:val="7"/>
    </w:pPr>
    <w:rPr>
      <w:rFonts w:eastAsiaTheme="majorEastAsia" w:cstheme="majorBidi"/>
      <w:b/>
      <w:color w:val="303030" w:themeColor="text1"/>
      <w:szCs w:val="21"/>
    </w:rPr>
  </w:style>
  <w:style w:type="paragraph" w:styleId="Heading9">
    <w:name w:val="heading 9"/>
    <w:basedOn w:val="Normal"/>
    <w:next w:val="Normal"/>
    <w:link w:val="Heading9Char"/>
    <w:uiPriority w:val="9"/>
    <w:unhideWhenUsed/>
    <w:qFormat/>
    <w:rsid w:val="008B1A3B"/>
    <w:pPr>
      <w:keepNext/>
      <w:keepLines/>
      <w:pBdr>
        <w:top w:val="single" w:sz="18" w:space="5" w:color="007935" w:themeColor="accent1"/>
      </w:pBdr>
      <w:spacing w:before="240" w:after="120"/>
      <w:ind w:left="2160"/>
      <w:outlineLvl w:val="8"/>
    </w:pPr>
    <w:rPr>
      <w:rFonts w:eastAsiaTheme="majorEastAsia" w:cstheme="majorBidi"/>
      <w:iCs/>
      <w:color w:val="007935" w:themeColor="accent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1A3B"/>
    <w:rPr>
      <w:color w:val="303030" w:themeColor="text2"/>
      <w:sz w:val="52"/>
      <w:szCs w:val="56"/>
    </w:rPr>
  </w:style>
  <w:style w:type="character" w:customStyle="1" w:styleId="Heading2Char">
    <w:name w:val="Heading 2 Char"/>
    <w:basedOn w:val="DefaultParagraphFont"/>
    <w:link w:val="Heading2"/>
    <w:uiPriority w:val="9"/>
    <w:rsid w:val="004C0660"/>
    <w:rPr>
      <w:color w:val="303030" w:themeColor="text2"/>
      <w:sz w:val="44"/>
    </w:rPr>
  </w:style>
  <w:style w:type="paragraph" w:styleId="Title">
    <w:name w:val="Title"/>
    <w:basedOn w:val="Heading1"/>
    <w:next w:val="Normal"/>
    <w:link w:val="TitleChar"/>
    <w:uiPriority w:val="10"/>
    <w:qFormat/>
    <w:rsid w:val="00A83A68"/>
    <w:pPr>
      <w:spacing w:after="480"/>
    </w:pPr>
    <w:rPr>
      <w:noProof/>
      <w:color w:val="007A40"/>
    </w:rPr>
  </w:style>
  <w:style w:type="character" w:customStyle="1" w:styleId="TitleChar">
    <w:name w:val="Title Char"/>
    <w:basedOn w:val="DefaultParagraphFont"/>
    <w:link w:val="Title"/>
    <w:uiPriority w:val="10"/>
    <w:rsid w:val="00A83A68"/>
    <w:rPr>
      <w:noProof/>
      <w:color w:val="007A40"/>
      <w:sz w:val="52"/>
      <w:szCs w:val="56"/>
    </w:rPr>
  </w:style>
  <w:style w:type="paragraph" w:styleId="Quote">
    <w:name w:val="Quote"/>
    <w:basedOn w:val="Normal"/>
    <w:next w:val="Normal"/>
    <w:link w:val="QuoteChar"/>
    <w:uiPriority w:val="29"/>
    <w:qFormat/>
    <w:rsid w:val="00304D57"/>
    <w:pPr>
      <w:pBdr>
        <w:top w:val="single" w:sz="12" w:space="5" w:color="007935" w:themeColor="accent1"/>
      </w:pBdr>
      <w:spacing w:after="120"/>
      <w:ind w:left="1440" w:right="1440"/>
    </w:pPr>
    <w:rPr>
      <w:iCs/>
      <w:color w:val="007935" w:themeColor="accent1"/>
    </w:rPr>
  </w:style>
  <w:style w:type="character" w:customStyle="1" w:styleId="QuoteChar">
    <w:name w:val="Quote Char"/>
    <w:basedOn w:val="DefaultParagraphFont"/>
    <w:link w:val="Quote"/>
    <w:uiPriority w:val="29"/>
    <w:rsid w:val="00304D57"/>
    <w:rPr>
      <w:iCs/>
      <w:color w:val="007935" w:themeColor="accent1"/>
    </w:rPr>
  </w:style>
  <w:style w:type="paragraph" w:customStyle="1" w:styleId="BulletedList">
    <w:name w:val="Bulleted List"/>
    <w:qFormat/>
    <w:rsid w:val="00F03DEE"/>
    <w:pPr>
      <w:numPr>
        <w:numId w:val="1"/>
      </w:numPr>
      <w:spacing w:before="120" w:after="60" w:line="240" w:lineRule="auto"/>
      <w:ind w:left="1080"/>
    </w:pPr>
    <w:rPr>
      <w:color w:val="303030" w:themeColor="text2"/>
      <w:szCs w:val="22"/>
    </w:rPr>
  </w:style>
  <w:style w:type="character" w:customStyle="1" w:styleId="Bold">
    <w:name w:val="Bold"/>
    <w:uiPriority w:val="1"/>
    <w:qFormat/>
    <w:rsid w:val="00CA1F0E"/>
    <w:rPr>
      <w:b/>
      <w:bCs/>
    </w:rPr>
  </w:style>
  <w:style w:type="paragraph" w:styleId="TOCHeading">
    <w:name w:val="TOC Heading"/>
    <w:next w:val="Normal"/>
    <w:uiPriority w:val="39"/>
    <w:unhideWhenUsed/>
    <w:qFormat/>
    <w:rsid w:val="00321453"/>
    <w:pPr>
      <w:spacing w:after="240"/>
    </w:pPr>
    <w:rPr>
      <w:color w:val="303030" w:themeColor="text2"/>
      <w:sz w:val="44"/>
      <w:szCs w:val="56"/>
    </w:rPr>
  </w:style>
  <w:style w:type="paragraph" w:styleId="TOC1">
    <w:name w:val="toc 1"/>
    <w:next w:val="Normal"/>
    <w:autoRedefine/>
    <w:uiPriority w:val="39"/>
    <w:unhideWhenUsed/>
    <w:rsid w:val="00304D57"/>
    <w:pPr>
      <w:tabs>
        <w:tab w:val="right" w:leader="underscore" w:pos="9350"/>
      </w:tabs>
      <w:spacing w:before="240" w:after="120"/>
    </w:pPr>
    <w:rPr>
      <w:b/>
      <w:noProof/>
      <w:color w:val="303030" w:themeColor="text2"/>
    </w:rPr>
  </w:style>
  <w:style w:type="paragraph" w:styleId="TOC2">
    <w:name w:val="toc 2"/>
    <w:next w:val="Normal"/>
    <w:autoRedefine/>
    <w:uiPriority w:val="39"/>
    <w:unhideWhenUsed/>
    <w:rsid w:val="005F138A"/>
    <w:pPr>
      <w:tabs>
        <w:tab w:val="right" w:leader="underscore" w:pos="9350"/>
      </w:tabs>
      <w:spacing w:after="120"/>
    </w:pPr>
    <w:rPr>
      <w:noProof/>
      <w:color w:val="303030" w:themeColor="text2"/>
    </w:rPr>
  </w:style>
  <w:style w:type="character" w:styleId="Hyperlink">
    <w:name w:val="Hyperlink"/>
    <w:basedOn w:val="DefaultParagraphFont"/>
    <w:uiPriority w:val="99"/>
    <w:unhideWhenUsed/>
    <w:rsid w:val="00672943"/>
    <w:rPr>
      <w:color w:val="0563C1" w:themeColor="hyperlink"/>
      <w:u w:val="single"/>
    </w:rPr>
  </w:style>
  <w:style w:type="character" w:customStyle="1" w:styleId="Heading3Char">
    <w:name w:val="Heading 3 Char"/>
    <w:basedOn w:val="DefaultParagraphFont"/>
    <w:link w:val="Heading3"/>
    <w:uiPriority w:val="9"/>
    <w:rsid w:val="008B1A3B"/>
    <w:rPr>
      <w:color w:val="007935" w:themeColor="accent1"/>
      <w:sz w:val="32"/>
    </w:rPr>
  </w:style>
  <w:style w:type="paragraph" w:styleId="TOC3">
    <w:name w:val="toc 3"/>
    <w:next w:val="Normal"/>
    <w:autoRedefine/>
    <w:uiPriority w:val="39"/>
    <w:unhideWhenUsed/>
    <w:rsid w:val="00E1560B"/>
    <w:pPr>
      <w:shd w:val="clear" w:color="007935" w:themeColor="accent1" w:fill="auto"/>
      <w:tabs>
        <w:tab w:val="right" w:leader="underscore" w:pos="9346"/>
      </w:tabs>
      <w:spacing w:after="120"/>
    </w:pPr>
    <w:rPr>
      <w:color w:val="007935" w:themeColor="accent1"/>
    </w:rPr>
  </w:style>
  <w:style w:type="paragraph" w:styleId="Header">
    <w:name w:val="header"/>
    <w:basedOn w:val="Normal"/>
    <w:link w:val="HeaderChar"/>
    <w:uiPriority w:val="99"/>
    <w:unhideWhenUsed/>
    <w:rsid w:val="00852686"/>
    <w:pPr>
      <w:tabs>
        <w:tab w:val="center" w:pos="4680"/>
        <w:tab w:val="right" w:pos="9360"/>
      </w:tabs>
      <w:spacing w:after="60"/>
    </w:pPr>
  </w:style>
  <w:style w:type="character" w:customStyle="1" w:styleId="HeaderChar">
    <w:name w:val="Header Char"/>
    <w:basedOn w:val="DefaultParagraphFont"/>
    <w:link w:val="Header"/>
    <w:uiPriority w:val="99"/>
    <w:rsid w:val="00852686"/>
    <w:rPr>
      <w:color w:val="303030" w:themeColor="text2"/>
    </w:rPr>
  </w:style>
  <w:style w:type="paragraph" w:styleId="Footer">
    <w:name w:val="footer"/>
    <w:basedOn w:val="Header"/>
    <w:link w:val="FooterChar"/>
    <w:uiPriority w:val="99"/>
    <w:unhideWhenUsed/>
    <w:rsid w:val="00852686"/>
  </w:style>
  <w:style w:type="character" w:customStyle="1" w:styleId="FooterChar">
    <w:name w:val="Footer Char"/>
    <w:basedOn w:val="DefaultParagraphFont"/>
    <w:link w:val="Footer"/>
    <w:uiPriority w:val="99"/>
    <w:rsid w:val="00852686"/>
    <w:rPr>
      <w:color w:val="303030" w:themeColor="text2"/>
    </w:rPr>
  </w:style>
  <w:style w:type="character" w:customStyle="1" w:styleId="Heading5Char">
    <w:name w:val="Heading 5 Char"/>
    <w:basedOn w:val="DefaultParagraphFont"/>
    <w:link w:val="Heading5"/>
    <w:uiPriority w:val="9"/>
    <w:rsid w:val="008B1A3B"/>
    <w:rPr>
      <w:bCs/>
      <w:color w:val="007935" w:themeColor="accent1"/>
      <w:spacing w:val="8"/>
      <w:sz w:val="28"/>
      <w:szCs w:val="18"/>
    </w:rPr>
  </w:style>
  <w:style w:type="table" w:styleId="GridTable4-Accent1">
    <w:name w:val="Grid Table 4 Accent 1"/>
    <w:aliases w:val="Table Format - Grow the Economy"/>
    <w:basedOn w:val="TableNormal"/>
    <w:uiPriority w:val="49"/>
    <w:rsid w:val="003823C7"/>
    <w:pPr>
      <w:spacing w:after="0" w:line="240" w:lineRule="auto"/>
    </w:pPr>
    <w:rPr>
      <w:szCs w:val="22"/>
    </w:rPr>
    <w:tblPr>
      <w:tblStyleRowBandSize w:val="1"/>
      <w:tblStyleColBandSize w:val="1"/>
      <w:tblInd w:w="720" w:type="dxa"/>
      <w:tblBorders>
        <w:top w:val="single" w:sz="4" w:space="0" w:color="005A27" w:themeColor="accent1" w:themeShade="BF"/>
        <w:left w:val="single" w:sz="4" w:space="0" w:color="005A27" w:themeColor="accent1" w:themeShade="BF"/>
        <w:bottom w:val="single" w:sz="4" w:space="0" w:color="005A27" w:themeColor="accent1" w:themeShade="BF"/>
        <w:right w:val="single" w:sz="4" w:space="0" w:color="005A27" w:themeColor="accent1" w:themeShade="BF"/>
        <w:insideH w:val="single" w:sz="4" w:space="0" w:color="005A27" w:themeColor="accent1" w:themeShade="BF"/>
        <w:insideV w:val="single" w:sz="4" w:space="0" w:color="005A27" w:themeColor="accent1" w:themeShade="BF"/>
      </w:tblBorders>
    </w:tblPr>
    <w:tcPr>
      <w:shd w:val="clear" w:color="auto" w:fill="auto"/>
      <w:tcMar>
        <w:top w:w="58" w:type="dxa"/>
        <w:left w:w="58" w:type="dxa"/>
        <w:bottom w:w="58" w:type="dxa"/>
        <w:right w:w="58" w:type="dxa"/>
      </w:tcMar>
      <w:vAlign w:val="center"/>
    </w:tcPr>
    <w:tblStylePr w:type="firstRow">
      <w:rPr>
        <w:b/>
        <w:bCs/>
        <w:color w:val="FFFFFF" w:themeColor="background1"/>
      </w:rPr>
      <w:tblPr/>
      <w:tcPr>
        <w:shd w:val="clear" w:color="auto" w:fill="005A27" w:themeFill="accent1" w:themeFillShade="BF"/>
      </w:tcPr>
    </w:tblStylePr>
    <w:tblStylePr w:type="lastRow">
      <w:rPr>
        <w:b/>
        <w:bCs/>
      </w:rPr>
      <w:tblPr/>
      <w:tcPr>
        <w:tcBorders>
          <w:top w:val="double" w:sz="4" w:space="0" w:color="007935" w:themeColor="accent1"/>
        </w:tcBorders>
      </w:tcPr>
    </w:tblStylePr>
    <w:tblStylePr w:type="firstCol">
      <w:rPr>
        <w:b w:val="0"/>
        <w:bCs/>
      </w:rPr>
    </w:tblStylePr>
    <w:tblStylePr w:type="lastCol">
      <w:rPr>
        <w:b/>
        <w:bCs/>
      </w:rPr>
    </w:tblStylePr>
    <w:tblStylePr w:type="band1Vert">
      <w:tblPr/>
      <w:tcPr>
        <w:shd w:val="clear" w:color="auto" w:fill="B1FFD2" w:themeFill="accent1" w:themeFillTint="33"/>
      </w:tcPr>
    </w:tblStylePr>
    <w:tblStylePr w:type="band2Horz">
      <w:tblPr/>
      <w:tcPr>
        <w:shd w:val="clear" w:color="auto" w:fill="FFFFFF" w:themeFill="background2" w:themeFillTint="66"/>
      </w:tcPr>
    </w:tblStylePr>
  </w:style>
  <w:style w:type="character" w:customStyle="1" w:styleId="Heading4Char">
    <w:name w:val="Heading 4 Char"/>
    <w:basedOn w:val="DefaultParagraphFont"/>
    <w:link w:val="Heading4"/>
    <w:uiPriority w:val="9"/>
    <w:rsid w:val="008B1A3B"/>
    <w:rPr>
      <w:b/>
      <w:color w:val="303030" w:themeColor="text2"/>
      <w:sz w:val="32"/>
    </w:rPr>
  </w:style>
  <w:style w:type="table" w:styleId="TableGrid">
    <w:name w:val="Table Grid"/>
    <w:basedOn w:val="TableNormal"/>
    <w:uiPriority w:val="39"/>
    <w:rsid w:val="006347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4E5F9C"/>
    <w:pPr>
      <w:spacing w:after="0" w:line="240" w:lineRule="auto"/>
    </w:pPr>
    <w:tblPr>
      <w:tblStyleRowBandSize w:val="1"/>
      <w:tblStyleColBandSize w:val="1"/>
      <w:tblBorders>
        <w:top w:val="single" w:sz="4" w:space="0" w:color="00674E"/>
        <w:left w:val="single" w:sz="4" w:space="0" w:color="00674E"/>
        <w:bottom w:val="single" w:sz="4" w:space="0" w:color="00674E"/>
        <w:right w:val="single" w:sz="4" w:space="0" w:color="00674E"/>
        <w:insideH w:val="single" w:sz="4" w:space="0" w:color="00674E"/>
        <w:insideV w:val="single" w:sz="4" w:space="0" w:color="00674E"/>
      </w:tblBorders>
    </w:tblPr>
    <w:tblStylePr w:type="firstRow">
      <w:rPr>
        <w:b/>
        <w:bCs/>
        <w:color w:val="FFFFFF" w:themeColor="background1"/>
      </w:rPr>
      <w:tblPr/>
      <w:tcPr>
        <w:tcBorders>
          <w:top w:val="single" w:sz="4" w:space="0" w:color="003300" w:themeColor="accent6"/>
          <w:left w:val="single" w:sz="4" w:space="0" w:color="003300" w:themeColor="accent6"/>
          <w:bottom w:val="single" w:sz="4" w:space="0" w:color="003300" w:themeColor="accent6"/>
          <w:right w:val="single" w:sz="4" w:space="0" w:color="003300" w:themeColor="accent6"/>
          <w:insideH w:val="nil"/>
          <w:insideV w:val="nil"/>
        </w:tcBorders>
        <w:shd w:val="clear" w:color="auto" w:fill="003300" w:themeFill="accent6"/>
      </w:tcPr>
    </w:tblStylePr>
    <w:tblStylePr w:type="lastRow">
      <w:rPr>
        <w:b/>
        <w:bCs/>
      </w:rPr>
      <w:tblPr/>
      <w:tcPr>
        <w:tcBorders>
          <w:top w:val="double" w:sz="4" w:space="0" w:color="003300" w:themeColor="accent6"/>
        </w:tcBorders>
      </w:tcPr>
    </w:tblStylePr>
    <w:tblStylePr w:type="firstCol">
      <w:rPr>
        <w:b/>
        <w:bCs/>
      </w:rPr>
    </w:tblStylePr>
    <w:tblStylePr w:type="lastCol">
      <w:rPr>
        <w:b/>
        <w:bCs/>
      </w:rPr>
    </w:tblStylePr>
    <w:tblStylePr w:type="band1Vert">
      <w:tblPr/>
      <w:tcPr>
        <w:shd w:val="clear" w:color="auto" w:fill="A3FFA3" w:themeFill="accent6" w:themeFillTint="33"/>
      </w:tcPr>
    </w:tblStylePr>
    <w:tblStylePr w:type="band1Horz">
      <w:tblPr/>
      <w:tcPr>
        <w:shd w:val="clear" w:color="auto" w:fill="A3FFA3" w:themeFill="accent6" w:themeFillTint="33"/>
      </w:tcPr>
    </w:tblStylePr>
  </w:style>
  <w:style w:type="table" w:styleId="GridTable5Dark">
    <w:name w:val="Grid Table 5 Dark"/>
    <w:basedOn w:val="TableNormal"/>
    <w:uiPriority w:val="50"/>
    <w:rsid w:val="003D0E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D5D5"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0303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0303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0303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03030" w:themeFill="text1"/>
      </w:tcPr>
    </w:tblStylePr>
    <w:tblStylePr w:type="band1Vert">
      <w:tblPr/>
      <w:tcPr>
        <w:shd w:val="clear" w:color="auto" w:fill="ACACAC" w:themeFill="text1" w:themeFillTint="66"/>
      </w:tcPr>
    </w:tblStylePr>
    <w:tblStylePr w:type="band1Horz">
      <w:tblPr/>
      <w:tcPr>
        <w:shd w:val="clear" w:color="auto" w:fill="ACACAC" w:themeFill="text1" w:themeFillTint="66"/>
      </w:tcPr>
    </w:tblStylePr>
  </w:style>
  <w:style w:type="table" w:styleId="GridTable5Dark-Accent1">
    <w:name w:val="Grid Table 5 Dark Accent 1"/>
    <w:basedOn w:val="TableNormal"/>
    <w:uiPriority w:val="50"/>
    <w:rsid w:val="003D0E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1FFD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93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93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93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935" w:themeFill="accent1"/>
      </w:tcPr>
    </w:tblStylePr>
    <w:tblStylePr w:type="band1Vert">
      <w:tblPr/>
      <w:tcPr>
        <w:shd w:val="clear" w:color="auto" w:fill="63FFA7" w:themeFill="accent1" w:themeFillTint="66"/>
      </w:tcPr>
    </w:tblStylePr>
    <w:tblStylePr w:type="band1Horz">
      <w:tblPr/>
      <w:tcPr>
        <w:shd w:val="clear" w:color="auto" w:fill="63FFA7" w:themeFill="accent1" w:themeFillTint="66"/>
      </w:tcPr>
    </w:tblStylePr>
  </w:style>
  <w:style w:type="paragraph" w:styleId="TOC4">
    <w:name w:val="toc 4"/>
    <w:basedOn w:val="Normal"/>
    <w:next w:val="Normal"/>
    <w:autoRedefine/>
    <w:uiPriority w:val="39"/>
    <w:unhideWhenUsed/>
    <w:rsid w:val="005F138A"/>
    <w:pPr>
      <w:tabs>
        <w:tab w:val="right" w:leader="underscore" w:pos="9350"/>
      </w:tabs>
      <w:spacing w:after="120"/>
      <w:ind w:left="360"/>
    </w:pPr>
    <w:rPr>
      <w:b/>
      <w:noProof/>
    </w:rPr>
  </w:style>
  <w:style w:type="paragraph" w:styleId="TOC5">
    <w:name w:val="toc 5"/>
    <w:basedOn w:val="Normal"/>
    <w:next w:val="Normal"/>
    <w:autoRedefine/>
    <w:uiPriority w:val="39"/>
    <w:unhideWhenUsed/>
    <w:rsid w:val="005F138A"/>
    <w:pPr>
      <w:tabs>
        <w:tab w:val="right" w:leader="underscore" w:pos="9346"/>
      </w:tabs>
      <w:spacing w:after="120"/>
      <w:ind w:left="720"/>
    </w:pPr>
    <w:rPr>
      <w:color w:val="007935" w:themeColor="accent1"/>
    </w:rPr>
  </w:style>
  <w:style w:type="table" w:customStyle="1" w:styleId="SOVTableStyleOption2">
    <w:name w:val="SOV Table Style Option 2"/>
    <w:basedOn w:val="TableNormal"/>
    <w:uiPriority w:val="99"/>
    <w:rsid w:val="006F0245"/>
    <w:pPr>
      <w:spacing w:after="0" w:line="240" w:lineRule="auto"/>
    </w:pPr>
    <w:rPr>
      <w:color w:val="303030" w:themeColor="text1"/>
    </w:rPr>
    <w:tblPr>
      <w:tblStyleRowBandSize w:val="1"/>
      <w:tblStyleColBandSize w:val="1"/>
      <w:tblCellMar>
        <w:top w:w="115" w:type="dxa"/>
        <w:bottom w:w="115" w:type="dxa"/>
      </w:tblCellMar>
    </w:tblPr>
    <w:tcPr>
      <w:vAlign w:val="center"/>
    </w:tcPr>
    <w:tblStylePr w:type="firstRow">
      <w:pPr>
        <w:wordWrap/>
        <w:spacing w:beforeLines="0" w:before="0" w:beforeAutospacing="0" w:afterLines="0" w:after="0" w:afterAutospacing="0" w:line="240" w:lineRule="auto"/>
      </w:pPr>
      <w:rPr>
        <w:rFonts w:ascii="Arial" w:hAnsi="Arial"/>
        <w:b w:val="0"/>
        <w:bCs/>
        <w:i w:val="0"/>
        <w:iCs/>
        <w:color w:val="FFFFFF" w:themeColor="background2"/>
        <w:sz w:val="32"/>
      </w:rPr>
      <w:tblPr/>
      <w:tcPr>
        <w:tcBorders>
          <w:top w:val="nil"/>
          <w:left w:val="nil"/>
          <w:bottom w:val="nil"/>
          <w:right w:val="nil"/>
          <w:insideH w:val="nil"/>
          <w:insideV w:val="single" w:sz="4" w:space="0" w:color="FFFFFF" w:themeColor="background1"/>
          <w:tl2br w:val="nil"/>
          <w:tr2bl w:val="nil"/>
        </w:tcBorders>
        <w:shd w:val="solid" w:color="003300" w:themeColor="accent6" w:fill="303030" w:themeFill="text1"/>
      </w:tcPr>
    </w:tblStylePr>
    <w:tblStylePr w:type="lastRow">
      <w:pPr>
        <w:wordWrap/>
        <w:spacing w:beforeLines="0" w:before="0" w:beforeAutospacing="0" w:afterLines="0" w:after="0" w:afterAutospacing="0" w:line="240" w:lineRule="auto"/>
      </w:pPr>
      <w:rPr>
        <w:b/>
        <w:bCs/>
      </w:rPr>
      <w:tblPr/>
      <w:tcPr>
        <w:tcBorders>
          <w:top w:val="single" w:sz="8" w:space="0" w:color="auto"/>
          <w:left w:val="nil"/>
          <w:bottom w:val="nil"/>
          <w:right w:val="nil"/>
          <w:insideH w:val="nil"/>
          <w:insideV w:val="single" w:sz="4" w:space="0" w:color="303030" w:themeColor="text1"/>
          <w:tl2br w:val="nil"/>
          <w:tr2bl w:val="nil"/>
        </w:tcBorders>
      </w:tcPr>
    </w:tblStylePr>
    <w:tblStylePr w:type="firstCol">
      <w:pPr>
        <w:wordWrap/>
        <w:spacing w:beforeLines="0" w:before="0" w:beforeAutospacing="0" w:afterLines="0" w:after="0" w:afterAutospacing="0" w:line="240" w:lineRule="auto"/>
      </w:pPr>
      <w:rPr>
        <w:rFonts w:ascii="Arial" w:hAnsi="Arial"/>
        <w:b w:val="0"/>
        <w:bCs/>
        <w:i w:val="0"/>
        <w:color w:val="FFFFFF" w:themeColor="background2"/>
        <w:sz w:val="24"/>
      </w:rPr>
      <w:tblPr/>
      <w:tcPr>
        <w:tcBorders>
          <w:top w:val="nil"/>
          <w:left w:val="nil"/>
          <w:bottom w:val="nil"/>
          <w:right w:val="nil"/>
          <w:insideH w:val="single" w:sz="4" w:space="0" w:color="FFFFFF" w:themeColor="background2"/>
          <w:insideV w:val="single" w:sz="4" w:space="0" w:color="FFFFFF" w:themeColor="background2"/>
          <w:tl2br w:val="nil"/>
          <w:tr2bl w:val="nil"/>
        </w:tcBorders>
        <w:shd w:val="solid" w:color="007935" w:themeColor="accent1" w:fill="auto"/>
      </w:tcPr>
    </w:tblStylePr>
    <w:tblStylePr w:type="lastCol">
      <w:pPr>
        <w:wordWrap/>
        <w:spacing w:beforeLines="0" w:before="0" w:beforeAutospacing="0" w:afterLines="0" w:after="0" w:afterAutospacing="0" w:line="240" w:lineRule="auto"/>
      </w:pPr>
      <w:rPr>
        <w:b/>
        <w:bCs/>
      </w:rPr>
      <w:tblPr/>
      <w:tcPr>
        <w:tcBorders>
          <w:top w:val="nil"/>
          <w:left w:val="nil"/>
          <w:bottom w:val="nil"/>
          <w:right w:val="nil"/>
          <w:insideH w:val="single" w:sz="4" w:space="0" w:color="303030" w:themeColor="text1"/>
          <w:insideV w:val="single" w:sz="4" w:space="0" w:color="303030" w:themeColor="text1"/>
          <w:tl2br w:val="nil"/>
          <w:tr2bl w:val="nil"/>
        </w:tcBorders>
      </w:tcPr>
    </w:tblStylePr>
    <w:tblStylePr w:type="band1Vert">
      <w:pPr>
        <w:wordWrap/>
        <w:spacing w:beforeLines="0" w:before="0" w:beforeAutospacing="0" w:afterLines="0" w:after="0" w:afterAutospacing="0" w:line="240" w:lineRule="auto"/>
      </w:pPr>
      <w:rPr>
        <w:color w:val="auto"/>
      </w:rPr>
      <w:tblPr/>
      <w:tcPr>
        <w:tcBorders>
          <w:top w:val="nil"/>
          <w:left w:val="nil"/>
          <w:bottom w:val="nil"/>
          <w:right w:val="nil"/>
          <w:insideH w:val="nil"/>
          <w:insideV w:val="single" w:sz="4" w:space="0" w:color="303030" w:themeColor="text1"/>
          <w:tl2br w:val="nil"/>
          <w:tr2bl w:val="nil"/>
        </w:tcBorders>
        <w:shd w:val="solid" w:color="C0C0C0" w:fill="FFFFFF"/>
      </w:tcPr>
    </w:tblStylePr>
    <w:tblStylePr w:type="band2Vert">
      <w:pPr>
        <w:wordWrap/>
        <w:spacing w:beforeLines="0" w:before="0" w:beforeAutospacing="0" w:afterLines="0" w:after="0" w:afterAutospacing="0" w:line="240" w:lineRule="auto"/>
      </w:pPr>
      <w:rPr>
        <w:color w:val="auto"/>
      </w:rPr>
      <w:tblPr/>
      <w:tcPr>
        <w:tcBorders>
          <w:top w:val="nil"/>
          <w:left w:val="nil"/>
          <w:bottom w:val="nil"/>
          <w:right w:val="nil"/>
          <w:insideH w:val="nil"/>
          <w:insideV w:val="single" w:sz="4" w:space="0" w:color="303030" w:themeColor="text1"/>
          <w:tl2br w:val="nil"/>
          <w:tr2bl w:val="nil"/>
        </w:tcBorders>
      </w:tcPr>
    </w:tblStylePr>
    <w:tblStylePr w:type="band1Horz">
      <w:pPr>
        <w:wordWrap/>
        <w:spacing w:beforeLines="0" w:before="0" w:beforeAutospacing="0" w:afterLines="0" w:after="0" w:afterAutospacing="0" w:line="240" w:lineRule="auto"/>
      </w:pPr>
      <w:tblPr/>
      <w:tcPr>
        <w:tcBorders>
          <w:top w:val="nil"/>
          <w:left w:val="nil"/>
          <w:bottom w:val="nil"/>
          <w:right w:val="nil"/>
          <w:insideH w:val="nil"/>
          <w:insideV w:val="single" w:sz="4" w:space="0" w:color="303030" w:themeColor="text1"/>
          <w:tl2br w:val="nil"/>
          <w:tr2bl w:val="nil"/>
        </w:tcBorders>
      </w:tcPr>
    </w:tblStylePr>
    <w:tblStylePr w:type="band2Horz">
      <w:pPr>
        <w:wordWrap/>
        <w:spacing w:beforeLines="0" w:before="0" w:beforeAutospacing="0" w:afterLines="0" w:after="0" w:afterAutospacing="0" w:line="240" w:lineRule="auto"/>
      </w:pPr>
      <w:tblPr/>
      <w:tcPr>
        <w:tcBorders>
          <w:top w:val="nil"/>
          <w:left w:val="nil"/>
          <w:bottom w:val="nil"/>
          <w:right w:val="nil"/>
          <w:insideH w:val="nil"/>
          <w:insideV w:val="single" w:sz="4" w:space="0" w:color="303030" w:themeColor="text1"/>
          <w:tl2br w:val="nil"/>
          <w:tr2bl w:val="nil"/>
        </w:tcBorders>
        <w:shd w:val="solid" w:color="ECDED2" w:themeColor="accent4" w:themeTint="33" w:fill="A3FFA3" w:themeFill="accent6" w:themeFillTint="33"/>
      </w:tcPr>
    </w:tblStylePr>
  </w:style>
  <w:style w:type="table" w:styleId="GridTable4-Accent3">
    <w:name w:val="Grid Table 4 Accent 3"/>
    <w:basedOn w:val="TableNormal"/>
    <w:uiPriority w:val="49"/>
    <w:rsid w:val="004C5F5E"/>
    <w:pPr>
      <w:spacing w:after="0" w:line="240" w:lineRule="auto"/>
    </w:pPr>
    <w:tblPr>
      <w:tblStyleRowBandSize w:val="1"/>
      <w:tblStyleColBandSize w:val="1"/>
      <w:tblInd w:w="720" w:type="dxa"/>
      <w:tblBorders>
        <w:top w:val="single" w:sz="4" w:space="0" w:color="671E1E" w:themeColor="accent3" w:themeShade="BF"/>
        <w:left w:val="single" w:sz="4" w:space="0" w:color="671E1E" w:themeColor="accent3" w:themeShade="BF"/>
        <w:bottom w:val="single" w:sz="4" w:space="0" w:color="671E1E" w:themeColor="accent3" w:themeShade="BF"/>
        <w:right w:val="single" w:sz="4" w:space="0" w:color="671E1E" w:themeColor="accent3" w:themeShade="BF"/>
        <w:insideH w:val="single" w:sz="4" w:space="0" w:color="671E1E" w:themeColor="accent3" w:themeShade="BF"/>
        <w:insideV w:val="single" w:sz="4" w:space="0" w:color="671E1E" w:themeColor="accent3" w:themeShade="BF"/>
      </w:tblBorders>
    </w:tblPr>
    <w:tcPr>
      <w:shd w:val="clear" w:color="auto" w:fill="auto"/>
      <w:vAlign w:val="center"/>
    </w:tcPr>
    <w:tblStylePr w:type="firstRow">
      <w:rPr>
        <w:b/>
        <w:bCs/>
        <w:color w:val="FFFFFF" w:themeColor="background1"/>
      </w:rPr>
      <w:tblPr/>
      <w:tcPr>
        <w:shd w:val="clear" w:color="auto" w:fill="671E1E" w:themeFill="accent3" w:themeFillShade="BF"/>
      </w:tcPr>
    </w:tblStylePr>
    <w:tblStylePr w:type="lastRow">
      <w:rPr>
        <w:b/>
        <w:bCs/>
      </w:rPr>
      <w:tblPr/>
      <w:tcPr>
        <w:tcBorders>
          <w:top w:val="double" w:sz="4" w:space="0" w:color="8B2929" w:themeColor="accent3"/>
        </w:tcBorders>
      </w:tcPr>
    </w:tblStylePr>
    <w:tblStylePr w:type="firstCol">
      <w:rPr>
        <w:b/>
        <w:bCs/>
      </w:rPr>
    </w:tblStylePr>
    <w:tblStylePr w:type="lastCol">
      <w:rPr>
        <w:b/>
        <w:bCs/>
      </w:rPr>
    </w:tblStylePr>
    <w:tblStylePr w:type="band1Vert">
      <w:tblPr/>
      <w:tcPr>
        <w:shd w:val="clear" w:color="auto" w:fill="F0CCCC" w:themeFill="accent3" w:themeFillTint="33"/>
      </w:tcPr>
    </w:tblStylePr>
    <w:tblStylePr w:type="band2Horz">
      <w:tblPr/>
      <w:tcPr>
        <w:shd w:val="clear" w:color="auto" w:fill="FFFFFF" w:themeFill="background2" w:themeFillTint="66"/>
      </w:tcPr>
    </w:tblStylePr>
  </w:style>
  <w:style w:type="table" w:styleId="GridTable4-Accent4">
    <w:name w:val="Grid Table 4 Accent 4"/>
    <w:basedOn w:val="TableNormal"/>
    <w:uiPriority w:val="49"/>
    <w:rsid w:val="004C5F5E"/>
    <w:pPr>
      <w:spacing w:after="0" w:line="240" w:lineRule="auto"/>
    </w:pPr>
    <w:tblPr>
      <w:tblStyleRowBandSize w:val="1"/>
      <w:tblStyleColBandSize w:val="1"/>
      <w:tblInd w:w="720" w:type="dxa"/>
      <w:tblBorders>
        <w:top w:val="single" w:sz="4" w:space="0" w:color="67462B" w:themeColor="accent4" w:themeShade="BF"/>
        <w:left w:val="single" w:sz="4" w:space="0" w:color="67462B" w:themeColor="accent4" w:themeShade="BF"/>
        <w:bottom w:val="single" w:sz="4" w:space="0" w:color="67462B" w:themeColor="accent4" w:themeShade="BF"/>
        <w:right w:val="single" w:sz="4" w:space="0" w:color="67462B" w:themeColor="accent4" w:themeShade="BF"/>
        <w:insideH w:val="single" w:sz="4" w:space="0" w:color="67462B" w:themeColor="accent4" w:themeShade="BF"/>
        <w:insideV w:val="single" w:sz="4" w:space="0" w:color="67462B" w:themeColor="accent4" w:themeShade="BF"/>
      </w:tblBorders>
    </w:tblPr>
    <w:tcPr>
      <w:shd w:val="clear" w:color="auto" w:fill="auto"/>
      <w:vAlign w:val="center"/>
    </w:tcPr>
    <w:tblStylePr w:type="firstRow">
      <w:rPr>
        <w:b/>
        <w:bCs/>
        <w:color w:val="FFFFFF" w:themeColor="background1"/>
        <w:sz w:val="24"/>
      </w:rPr>
      <w:tblPr/>
      <w:tcPr>
        <w:shd w:val="clear" w:color="auto" w:fill="67462B" w:themeFill="accent4" w:themeFillShade="BF"/>
      </w:tcPr>
    </w:tblStylePr>
    <w:tblStylePr w:type="lastRow">
      <w:rPr>
        <w:b/>
        <w:bCs/>
      </w:rPr>
      <w:tblPr/>
      <w:tcPr>
        <w:tcBorders>
          <w:top w:val="double" w:sz="4" w:space="0" w:color="8B5F3A" w:themeColor="accent4"/>
        </w:tcBorders>
      </w:tcPr>
    </w:tblStylePr>
    <w:tblStylePr w:type="firstCol">
      <w:rPr>
        <w:b/>
        <w:bCs/>
      </w:rPr>
    </w:tblStylePr>
    <w:tblStylePr w:type="lastCol">
      <w:rPr>
        <w:b/>
        <w:bCs/>
      </w:rPr>
    </w:tblStylePr>
    <w:tblStylePr w:type="band1Vert">
      <w:tblPr/>
      <w:tcPr>
        <w:shd w:val="clear" w:color="auto" w:fill="ECDED2" w:themeFill="accent4" w:themeFillTint="33"/>
      </w:tcPr>
    </w:tblStylePr>
    <w:tblStylePr w:type="band2Horz">
      <w:tblPr/>
      <w:tcPr>
        <w:shd w:val="clear" w:color="auto" w:fill="FFFFFF" w:themeFill="background2" w:themeFillTint="66"/>
      </w:tcPr>
    </w:tblStylePr>
  </w:style>
  <w:style w:type="character" w:styleId="UnresolvedMention">
    <w:name w:val="Unresolved Mention"/>
    <w:basedOn w:val="DefaultParagraphFont"/>
    <w:uiPriority w:val="99"/>
    <w:semiHidden/>
    <w:unhideWhenUsed/>
    <w:rsid w:val="006A2F76"/>
    <w:rPr>
      <w:color w:val="605E5C"/>
      <w:shd w:val="clear" w:color="auto" w:fill="E1DFDD"/>
    </w:rPr>
  </w:style>
  <w:style w:type="table" w:styleId="GridTable4-Accent2">
    <w:name w:val="Grid Table 4 Accent 2"/>
    <w:basedOn w:val="TableNormal"/>
    <w:uiPriority w:val="49"/>
    <w:rsid w:val="004C5F5E"/>
    <w:pPr>
      <w:spacing w:after="0" w:line="240" w:lineRule="auto"/>
    </w:pPr>
    <w:tblPr>
      <w:tblStyleRowBandSize w:val="1"/>
      <w:tblStyleColBandSize w:val="1"/>
      <w:tblInd w:w="720" w:type="dxa"/>
      <w:tblBorders>
        <w:top w:val="single" w:sz="4" w:space="0" w:color="11375C" w:themeColor="accent2" w:themeShade="BF"/>
        <w:left w:val="single" w:sz="4" w:space="0" w:color="11375C" w:themeColor="accent2" w:themeShade="BF"/>
        <w:bottom w:val="single" w:sz="4" w:space="0" w:color="11375C" w:themeColor="accent2" w:themeShade="BF"/>
        <w:right w:val="single" w:sz="4" w:space="0" w:color="11375C" w:themeColor="accent2" w:themeShade="BF"/>
        <w:insideH w:val="single" w:sz="4" w:space="0" w:color="11375C" w:themeColor="accent2" w:themeShade="BF"/>
        <w:insideV w:val="single" w:sz="4" w:space="0" w:color="11375C" w:themeColor="accent2" w:themeShade="BF"/>
      </w:tblBorders>
    </w:tblPr>
    <w:tcPr>
      <w:shd w:val="clear" w:color="auto" w:fill="auto"/>
      <w:vAlign w:val="center"/>
    </w:tcPr>
    <w:tblStylePr w:type="firstRow">
      <w:rPr>
        <w:b/>
        <w:bCs/>
        <w:color w:val="FFFFFF" w:themeColor="background1"/>
      </w:rPr>
      <w:tblPr/>
      <w:tcPr>
        <w:shd w:val="clear" w:color="auto" w:fill="11375C" w:themeFill="accent2" w:themeFillShade="BF"/>
      </w:tcPr>
    </w:tblStylePr>
    <w:tblStylePr w:type="lastRow">
      <w:rPr>
        <w:b/>
        <w:bCs/>
      </w:rPr>
      <w:tblPr/>
      <w:tcPr>
        <w:tcBorders>
          <w:top w:val="double" w:sz="4" w:space="0" w:color="174A7C" w:themeColor="accent2"/>
        </w:tcBorders>
      </w:tcPr>
    </w:tblStylePr>
    <w:tblStylePr w:type="firstCol">
      <w:rPr>
        <w:b w:val="0"/>
        <w:bCs/>
      </w:rPr>
    </w:tblStylePr>
    <w:tblStylePr w:type="lastCol">
      <w:rPr>
        <w:b/>
        <w:bCs/>
      </w:rPr>
    </w:tblStylePr>
    <w:tblStylePr w:type="band1Vert">
      <w:tblPr/>
      <w:tcPr>
        <w:shd w:val="clear" w:color="auto" w:fill="C1DAF3" w:themeFill="accent2" w:themeFillTint="33"/>
      </w:tcPr>
    </w:tblStylePr>
    <w:tblStylePr w:type="band2Horz">
      <w:tblPr/>
      <w:tcPr>
        <w:shd w:val="clear" w:color="auto" w:fill="FFFFFF" w:themeFill="background2" w:themeFillTint="66"/>
      </w:tcPr>
    </w:tblStylePr>
  </w:style>
  <w:style w:type="character" w:customStyle="1" w:styleId="Heading6Char">
    <w:name w:val="Heading 6 Char"/>
    <w:basedOn w:val="DefaultParagraphFont"/>
    <w:link w:val="Heading6"/>
    <w:uiPriority w:val="9"/>
    <w:rsid w:val="008B1A3B"/>
    <w:rPr>
      <w:rFonts w:eastAsiaTheme="majorEastAsia" w:cstheme="majorBidi"/>
      <w:b/>
      <w:color w:val="303030" w:themeColor="text1"/>
      <w:sz w:val="28"/>
      <w:szCs w:val="32"/>
    </w:rPr>
  </w:style>
  <w:style w:type="paragraph" w:customStyle="1" w:styleId="NormalLARGE">
    <w:name w:val="Normal LARGE"/>
    <w:qFormat/>
    <w:rsid w:val="00F03DEE"/>
    <w:pPr>
      <w:spacing w:after="240" w:line="400" w:lineRule="exact"/>
    </w:pPr>
    <w:rPr>
      <w:color w:val="303030" w:themeColor="text2"/>
      <w:sz w:val="32"/>
      <w:szCs w:val="32"/>
    </w:rPr>
  </w:style>
  <w:style w:type="paragraph" w:customStyle="1" w:styleId="ArrowsList">
    <w:name w:val="Arrows List"/>
    <w:basedOn w:val="Normal"/>
    <w:qFormat/>
    <w:rsid w:val="001D1A83"/>
    <w:pPr>
      <w:numPr>
        <w:numId w:val="2"/>
      </w:numPr>
      <w:spacing w:before="120" w:after="120"/>
      <w:ind w:left="1051" w:hanging="187"/>
    </w:pPr>
    <w:rPr>
      <w:bCs/>
      <w:szCs w:val="22"/>
    </w:rPr>
  </w:style>
  <w:style w:type="paragraph" w:customStyle="1" w:styleId="ArrowsList-LastItem">
    <w:name w:val="Arrows List - Last Item"/>
    <w:basedOn w:val="ArrowsList"/>
    <w:qFormat/>
    <w:rsid w:val="001D1A83"/>
    <w:pPr>
      <w:spacing w:after="240"/>
    </w:pPr>
  </w:style>
  <w:style w:type="paragraph" w:customStyle="1" w:styleId="Normal-NoSpaceAfter">
    <w:name w:val="Normal - No Space After"/>
    <w:qFormat/>
    <w:rsid w:val="006D0E00"/>
    <w:pPr>
      <w:spacing w:after="0"/>
    </w:pPr>
    <w:rPr>
      <w:color w:val="303030" w:themeColor="text2"/>
    </w:rPr>
  </w:style>
  <w:style w:type="paragraph" w:customStyle="1" w:styleId="DataPoint">
    <w:name w:val="Data Point"/>
    <w:qFormat/>
    <w:rsid w:val="00C501FC"/>
    <w:pPr>
      <w:spacing w:after="0"/>
      <w:jc w:val="center"/>
    </w:pPr>
    <w:rPr>
      <w:color w:val="303030" w:themeColor="text2"/>
      <w:sz w:val="44"/>
      <w:szCs w:val="40"/>
    </w:rPr>
  </w:style>
  <w:style w:type="character" w:customStyle="1" w:styleId="Heading7Char">
    <w:name w:val="Heading 7 Char"/>
    <w:basedOn w:val="DefaultParagraphFont"/>
    <w:link w:val="Heading7"/>
    <w:uiPriority w:val="9"/>
    <w:rsid w:val="008B1A3B"/>
    <w:rPr>
      <w:rFonts w:eastAsiaTheme="majorEastAsia" w:cstheme="majorBidi"/>
      <w:iCs/>
      <w:color w:val="303030" w:themeColor="text1"/>
      <w:sz w:val="28"/>
    </w:rPr>
  </w:style>
  <w:style w:type="character" w:styleId="CommentReference">
    <w:name w:val="annotation reference"/>
    <w:basedOn w:val="DefaultParagraphFont"/>
    <w:uiPriority w:val="99"/>
    <w:semiHidden/>
    <w:unhideWhenUsed/>
    <w:rsid w:val="00BA5DBA"/>
    <w:rPr>
      <w:sz w:val="16"/>
      <w:szCs w:val="16"/>
    </w:rPr>
  </w:style>
  <w:style w:type="paragraph" w:styleId="CommentText">
    <w:name w:val="annotation text"/>
    <w:basedOn w:val="Normal"/>
    <w:link w:val="CommentTextChar"/>
    <w:uiPriority w:val="99"/>
    <w:unhideWhenUsed/>
    <w:rsid w:val="00BA5DBA"/>
    <w:rPr>
      <w:sz w:val="20"/>
      <w:szCs w:val="20"/>
    </w:rPr>
  </w:style>
  <w:style w:type="character" w:customStyle="1" w:styleId="CommentTextChar">
    <w:name w:val="Comment Text Char"/>
    <w:basedOn w:val="DefaultParagraphFont"/>
    <w:link w:val="CommentText"/>
    <w:uiPriority w:val="99"/>
    <w:rsid w:val="00BA5DBA"/>
    <w:rPr>
      <w:color w:val="303030" w:themeColor="text2"/>
      <w:sz w:val="20"/>
      <w:szCs w:val="20"/>
    </w:rPr>
  </w:style>
  <w:style w:type="paragraph" w:styleId="CommentSubject">
    <w:name w:val="annotation subject"/>
    <w:basedOn w:val="CommentText"/>
    <w:next w:val="CommentText"/>
    <w:link w:val="CommentSubjectChar"/>
    <w:uiPriority w:val="99"/>
    <w:semiHidden/>
    <w:unhideWhenUsed/>
    <w:rsid w:val="00BA5DBA"/>
    <w:rPr>
      <w:b/>
      <w:bCs/>
    </w:rPr>
  </w:style>
  <w:style w:type="character" w:customStyle="1" w:styleId="CommentSubjectChar">
    <w:name w:val="Comment Subject Char"/>
    <w:basedOn w:val="CommentTextChar"/>
    <w:link w:val="CommentSubject"/>
    <w:uiPriority w:val="99"/>
    <w:semiHidden/>
    <w:rsid w:val="00BA5DBA"/>
    <w:rPr>
      <w:b/>
      <w:bCs/>
      <w:color w:val="303030" w:themeColor="text2"/>
      <w:sz w:val="20"/>
      <w:szCs w:val="20"/>
    </w:rPr>
  </w:style>
  <w:style w:type="paragraph" w:customStyle="1" w:styleId="BulletedList-LastItem">
    <w:name w:val="Bulleted List - Last Item"/>
    <w:basedOn w:val="BulletedList"/>
    <w:qFormat/>
    <w:rsid w:val="00F03DEE"/>
    <w:pPr>
      <w:spacing w:after="240"/>
    </w:pPr>
  </w:style>
  <w:style w:type="paragraph" w:customStyle="1" w:styleId="Normal-Centered">
    <w:name w:val="Normal - Centered"/>
    <w:qFormat/>
    <w:rsid w:val="00F03DEE"/>
    <w:pPr>
      <w:spacing w:after="240" w:line="240" w:lineRule="auto"/>
      <w:jc w:val="center"/>
    </w:pPr>
    <w:rPr>
      <w:color w:val="303030" w:themeColor="text2"/>
    </w:rPr>
  </w:style>
  <w:style w:type="paragraph" w:styleId="FootnoteText">
    <w:name w:val="footnote text"/>
    <w:basedOn w:val="Normal"/>
    <w:link w:val="FootnoteTextChar"/>
    <w:uiPriority w:val="99"/>
    <w:unhideWhenUsed/>
    <w:rsid w:val="0081663F"/>
    <w:pPr>
      <w:spacing w:after="120"/>
    </w:pPr>
    <w:rPr>
      <w:szCs w:val="20"/>
    </w:rPr>
  </w:style>
  <w:style w:type="character" w:customStyle="1" w:styleId="FootnoteTextChar">
    <w:name w:val="Footnote Text Char"/>
    <w:basedOn w:val="DefaultParagraphFont"/>
    <w:link w:val="FootnoteText"/>
    <w:uiPriority w:val="99"/>
    <w:rsid w:val="0081663F"/>
    <w:rPr>
      <w:color w:val="303030" w:themeColor="text2"/>
      <w:szCs w:val="20"/>
    </w:rPr>
  </w:style>
  <w:style w:type="character" w:styleId="FootnoteReference">
    <w:name w:val="footnote reference"/>
    <w:basedOn w:val="DefaultParagraphFont"/>
    <w:uiPriority w:val="99"/>
    <w:semiHidden/>
    <w:unhideWhenUsed/>
    <w:rsid w:val="00705BBE"/>
    <w:rPr>
      <w:vertAlign w:val="superscript"/>
    </w:rPr>
  </w:style>
  <w:style w:type="character" w:styleId="FollowedHyperlink">
    <w:name w:val="FollowedHyperlink"/>
    <w:basedOn w:val="DefaultParagraphFont"/>
    <w:uiPriority w:val="99"/>
    <w:semiHidden/>
    <w:unhideWhenUsed/>
    <w:rsid w:val="00E54689"/>
    <w:rPr>
      <w:color w:val="954F72" w:themeColor="followedHyperlink"/>
      <w:u w:val="single"/>
    </w:rPr>
  </w:style>
  <w:style w:type="paragraph" w:styleId="Caption">
    <w:name w:val="caption"/>
    <w:basedOn w:val="Normal"/>
    <w:next w:val="Normal"/>
    <w:uiPriority w:val="35"/>
    <w:unhideWhenUsed/>
    <w:qFormat/>
    <w:rsid w:val="00DF334B"/>
    <w:pPr>
      <w:spacing w:after="360"/>
    </w:pPr>
    <w:rPr>
      <w:iCs/>
      <w:szCs w:val="18"/>
    </w:rPr>
  </w:style>
  <w:style w:type="paragraph" w:styleId="EndnoteText">
    <w:name w:val="endnote text"/>
    <w:basedOn w:val="Normal"/>
    <w:link w:val="EndnoteTextChar"/>
    <w:uiPriority w:val="99"/>
    <w:unhideWhenUsed/>
    <w:rsid w:val="0081663F"/>
    <w:pPr>
      <w:spacing w:after="120"/>
    </w:pPr>
    <w:rPr>
      <w:szCs w:val="20"/>
    </w:rPr>
  </w:style>
  <w:style w:type="character" w:customStyle="1" w:styleId="EndnoteTextChar">
    <w:name w:val="Endnote Text Char"/>
    <w:basedOn w:val="DefaultParagraphFont"/>
    <w:link w:val="EndnoteText"/>
    <w:uiPriority w:val="99"/>
    <w:rsid w:val="0081663F"/>
    <w:rPr>
      <w:color w:val="303030" w:themeColor="text2"/>
      <w:szCs w:val="20"/>
    </w:rPr>
  </w:style>
  <w:style w:type="character" w:styleId="EndnoteReference">
    <w:name w:val="endnote reference"/>
    <w:basedOn w:val="DefaultParagraphFont"/>
    <w:uiPriority w:val="99"/>
    <w:semiHidden/>
    <w:unhideWhenUsed/>
    <w:rsid w:val="00EC62F2"/>
    <w:rPr>
      <w:vertAlign w:val="superscript"/>
    </w:rPr>
  </w:style>
  <w:style w:type="paragraph" w:customStyle="1" w:styleId="Subsection">
    <w:name w:val="Subsection"/>
    <w:qFormat/>
    <w:rsid w:val="000558E0"/>
    <w:pPr>
      <w:spacing w:before="360" w:after="240"/>
    </w:pPr>
    <w:rPr>
      <w:b/>
      <w:color w:val="303030" w:themeColor="text2"/>
      <w:spacing w:val="20"/>
      <w:sz w:val="32"/>
      <w:szCs w:val="32"/>
    </w:rPr>
  </w:style>
  <w:style w:type="table" w:styleId="GridTable2">
    <w:name w:val="Grid Table 2"/>
    <w:basedOn w:val="TableNormal"/>
    <w:uiPriority w:val="47"/>
    <w:rsid w:val="002865E0"/>
    <w:pPr>
      <w:spacing w:after="0" w:line="240" w:lineRule="auto"/>
    </w:pPr>
    <w:tblPr>
      <w:tblStyleRowBandSize w:val="1"/>
      <w:tblStyleColBandSize w:val="1"/>
      <w:tblBorders>
        <w:top w:val="single" w:sz="2" w:space="0" w:color="828282" w:themeColor="text1" w:themeTint="99"/>
        <w:bottom w:val="single" w:sz="2" w:space="0" w:color="828282" w:themeColor="text1" w:themeTint="99"/>
        <w:insideH w:val="single" w:sz="2" w:space="0" w:color="828282" w:themeColor="text1" w:themeTint="99"/>
        <w:insideV w:val="single" w:sz="2" w:space="0" w:color="828282" w:themeColor="text1" w:themeTint="99"/>
      </w:tblBorders>
    </w:tblPr>
    <w:tblStylePr w:type="firstRow">
      <w:rPr>
        <w:b/>
        <w:bCs/>
      </w:rPr>
      <w:tblPr/>
      <w:tcPr>
        <w:tcBorders>
          <w:top w:val="nil"/>
          <w:bottom w:val="single" w:sz="12" w:space="0" w:color="828282" w:themeColor="text1" w:themeTint="99"/>
          <w:insideH w:val="nil"/>
          <w:insideV w:val="nil"/>
        </w:tcBorders>
        <w:shd w:val="clear" w:color="auto" w:fill="FFFFFF" w:themeFill="background1"/>
      </w:tcPr>
    </w:tblStylePr>
    <w:tblStylePr w:type="lastRow">
      <w:rPr>
        <w:b/>
        <w:bCs/>
      </w:rPr>
      <w:tblPr/>
      <w:tcPr>
        <w:tcBorders>
          <w:top w:val="double" w:sz="2" w:space="0" w:color="828282"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D5D5" w:themeFill="text1" w:themeFillTint="33"/>
      </w:tcPr>
    </w:tblStylePr>
    <w:tblStylePr w:type="band1Horz">
      <w:tblPr/>
      <w:tcPr>
        <w:shd w:val="clear" w:color="auto" w:fill="D5D5D5" w:themeFill="text1" w:themeFillTint="33"/>
      </w:tcPr>
    </w:tblStylePr>
  </w:style>
  <w:style w:type="table" w:styleId="GridTable4">
    <w:name w:val="Grid Table 4"/>
    <w:basedOn w:val="TableNormal"/>
    <w:uiPriority w:val="49"/>
    <w:rsid w:val="00095F96"/>
    <w:pPr>
      <w:spacing w:after="0" w:line="240" w:lineRule="auto"/>
    </w:pPr>
    <w:tblPr>
      <w:tblStyleRowBandSize w:val="1"/>
      <w:tblStyleColBandSize w:val="1"/>
      <w:tblBorders>
        <w:top w:val="single" w:sz="4" w:space="0" w:color="828282" w:themeColor="text1" w:themeTint="99"/>
        <w:left w:val="single" w:sz="4" w:space="0" w:color="828282" w:themeColor="text1" w:themeTint="99"/>
        <w:bottom w:val="single" w:sz="4" w:space="0" w:color="828282" w:themeColor="text1" w:themeTint="99"/>
        <w:right w:val="single" w:sz="4" w:space="0" w:color="828282" w:themeColor="text1" w:themeTint="99"/>
        <w:insideH w:val="single" w:sz="4" w:space="0" w:color="828282" w:themeColor="text1" w:themeTint="99"/>
        <w:insideV w:val="single" w:sz="4" w:space="0" w:color="828282" w:themeColor="text1" w:themeTint="99"/>
      </w:tblBorders>
    </w:tblPr>
    <w:tcPr>
      <w:vAlign w:val="center"/>
    </w:tcPr>
    <w:tblStylePr w:type="firstRow">
      <w:rPr>
        <w:b w:val="0"/>
        <w:bCs/>
        <w:color w:val="FFFFFF" w:themeColor="background1"/>
      </w:rPr>
      <w:tblPr/>
      <w:tcPr>
        <w:tcBorders>
          <w:top w:val="single" w:sz="4" w:space="0" w:color="303030" w:themeColor="text1"/>
          <w:left w:val="single" w:sz="4" w:space="0" w:color="303030" w:themeColor="text1"/>
          <w:bottom w:val="single" w:sz="4" w:space="0" w:color="303030" w:themeColor="text1"/>
          <w:right w:val="single" w:sz="4" w:space="0" w:color="303030" w:themeColor="text1"/>
          <w:insideH w:val="nil"/>
          <w:insideV w:val="nil"/>
        </w:tcBorders>
        <w:shd w:val="clear" w:color="auto" w:fill="303030" w:themeFill="text1"/>
        <w:vAlign w:val="center"/>
      </w:tcPr>
    </w:tblStylePr>
    <w:tblStylePr w:type="lastRow">
      <w:rPr>
        <w:b/>
        <w:bCs/>
      </w:rPr>
      <w:tblPr/>
      <w:tcPr>
        <w:tcBorders>
          <w:top w:val="double" w:sz="4" w:space="0" w:color="303030" w:themeColor="text1"/>
        </w:tcBorders>
      </w:tcPr>
    </w:tblStylePr>
    <w:tblStylePr w:type="firstCol">
      <w:rPr>
        <w:b/>
        <w:bCs/>
      </w:rPr>
    </w:tblStylePr>
    <w:tblStylePr w:type="lastCol">
      <w:rPr>
        <w:b/>
        <w:bCs/>
      </w:rPr>
    </w:tblStylePr>
    <w:tblStylePr w:type="band1Vert">
      <w:tblPr/>
      <w:tcPr>
        <w:shd w:val="clear" w:color="auto" w:fill="D5D5D5" w:themeFill="text1" w:themeFillTint="33"/>
      </w:tcPr>
    </w:tblStylePr>
    <w:tblStylePr w:type="band1Horz">
      <w:tblPr/>
      <w:tcPr>
        <w:shd w:val="clear" w:color="auto" w:fill="D5D5D5" w:themeFill="text1" w:themeFillTint="33"/>
      </w:tcPr>
    </w:tblStylePr>
  </w:style>
  <w:style w:type="paragraph" w:styleId="TableofAuthorities">
    <w:name w:val="table of authorities"/>
    <w:basedOn w:val="Normal"/>
    <w:next w:val="Normal"/>
    <w:uiPriority w:val="99"/>
    <w:unhideWhenUsed/>
    <w:rsid w:val="00910884"/>
    <w:pPr>
      <w:spacing w:after="0"/>
      <w:ind w:left="240" w:hanging="240"/>
    </w:pPr>
  </w:style>
  <w:style w:type="paragraph" w:styleId="NormalIndent">
    <w:name w:val="Normal Indent"/>
    <w:aliases w:val="Normal Indent .5&quot;"/>
    <w:basedOn w:val="Normal"/>
    <w:uiPriority w:val="99"/>
    <w:unhideWhenUsed/>
    <w:rsid w:val="008E5875"/>
    <w:pPr>
      <w:ind w:left="720"/>
    </w:pPr>
  </w:style>
  <w:style w:type="paragraph" w:styleId="ListNumber4">
    <w:name w:val="List Number 4"/>
    <w:basedOn w:val="Normal"/>
    <w:uiPriority w:val="99"/>
    <w:unhideWhenUsed/>
    <w:rsid w:val="00910884"/>
    <w:pPr>
      <w:numPr>
        <w:numId w:val="3"/>
      </w:numPr>
      <w:contextualSpacing/>
    </w:pPr>
  </w:style>
  <w:style w:type="paragraph" w:styleId="ListParagraph">
    <w:name w:val="List Paragraph"/>
    <w:basedOn w:val="Normal"/>
    <w:uiPriority w:val="34"/>
    <w:qFormat/>
    <w:rsid w:val="00910884"/>
    <w:pPr>
      <w:ind w:left="720"/>
      <w:contextualSpacing/>
    </w:pPr>
  </w:style>
  <w:style w:type="character" w:customStyle="1" w:styleId="Heading8Char">
    <w:name w:val="Heading 8 Char"/>
    <w:basedOn w:val="DefaultParagraphFont"/>
    <w:link w:val="Heading8"/>
    <w:uiPriority w:val="9"/>
    <w:rsid w:val="008B1A3B"/>
    <w:rPr>
      <w:rFonts w:eastAsiaTheme="majorEastAsia" w:cstheme="majorBidi"/>
      <w:b/>
      <w:color w:val="303030" w:themeColor="text1"/>
      <w:szCs w:val="21"/>
    </w:rPr>
  </w:style>
  <w:style w:type="character" w:customStyle="1" w:styleId="Heading9Char">
    <w:name w:val="Heading 9 Char"/>
    <w:basedOn w:val="DefaultParagraphFont"/>
    <w:link w:val="Heading9"/>
    <w:uiPriority w:val="9"/>
    <w:rsid w:val="008B1A3B"/>
    <w:rPr>
      <w:rFonts w:eastAsiaTheme="majorEastAsia" w:cstheme="majorBidi"/>
      <w:iCs/>
      <w:color w:val="007935" w:themeColor="accent1"/>
      <w:szCs w:val="21"/>
    </w:rPr>
  </w:style>
  <w:style w:type="paragraph" w:customStyle="1" w:styleId="TableHeaderRow">
    <w:name w:val="Table Header Row"/>
    <w:basedOn w:val="Normal"/>
    <w:qFormat/>
    <w:rsid w:val="00095F96"/>
    <w:pPr>
      <w:spacing w:after="0"/>
    </w:pPr>
    <w:rPr>
      <w:color w:val="FFFFFF" w:themeColor="background1"/>
      <w:sz w:val="32"/>
      <w:szCs w:val="32"/>
    </w:rPr>
  </w:style>
  <w:style w:type="paragraph" w:customStyle="1" w:styleId="TableCell-DarkText">
    <w:name w:val="Table Cell - Dark Text"/>
    <w:basedOn w:val="Normal"/>
    <w:qFormat/>
    <w:rsid w:val="00095F96"/>
    <w:pPr>
      <w:spacing w:after="0"/>
    </w:pPr>
  </w:style>
  <w:style w:type="table" w:customStyle="1" w:styleId="SOVTableStyleOption1">
    <w:name w:val="SOV Table Style Option 1"/>
    <w:basedOn w:val="TableNormal"/>
    <w:uiPriority w:val="99"/>
    <w:rsid w:val="006F0245"/>
    <w:pPr>
      <w:spacing w:after="0" w:line="240" w:lineRule="auto"/>
    </w:pPr>
    <w:tblPr>
      <w:tblStyleRowBandSize w:val="1"/>
      <w:tblStyleColBandSize w:val="1"/>
      <w:tblBorders>
        <w:insideH w:val="single" w:sz="4" w:space="0" w:color="303030" w:themeColor="text1"/>
        <w:insideV w:val="single" w:sz="4" w:space="0" w:color="303030" w:themeColor="text1"/>
      </w:tblBorders>
      <w:tblCellMar>
        <w:top w:w="115" w:type="dxa"/>
        <w:bottom w:w="115" w:type="dxa"/>
      </w:tblCellMar>
    </w:tblPr>
    <w:tcPr>
      <w:vAlign w:val="center"/>
    </w:tcPr>
    <w:tblStylePr w:type="firstRow">
      <w:pPr>
        <w:jc w:val="left"/>
      </w:pPr>
      <w:tblPr/>
      <w:tcPr>
        <w:tcBorders>
          <w:top w:val="nil"/>
          <w:left w:val="nil"/>
          <w:bottom w:val="nil"/>
          <w:right w:val="nil"/>
          <w:insideH w:val="nil"/>
          <w:insideV w:val="nil"/>
          <w:tl2br w:val="nil"/>
          <w:tr2bl w:val="nil"/>
        </w:tcBorders>
        <w:shd w:val="solid" w:color="003300" w:themeColor="accent6" w:fill="303030" w:themeFill="text1"/>
      </w:tcPr>
    </w:tblStylePr>
    <w:tblStylePr w:type="lastRow">
      <w:tblPr/>
      <w:tcPr>
        <w:tcBorders>
          <w:top w:val="nil"/>
          <w:left w:val="nil"/>
          <w:bottom w:val="nil"/>
          <w:right w:val="nil"/>
          <w:insideH w:val="nil"/>
          <w:insideV w:val="single" w:sz="4" w:space="0" w:color="303030" w:themeColor="text1"/>
          <w:tl2br w:val="nil"/>
          <w:tr2bl w:val="nil"/>
        </w:tcBorders>
      </w:tcPr>
    </w:tblStylePr>
    <w:tblStylePr w:type="band2Vert">
      <w:pPr>
        <w:jc w:val="left"/>
      </w:pPr>
    </w:tblStylePr>
    <w:tblStylePr w:type="band1Horz">
      <w:tblPr/>
      <w:tcPr>
        <w:tcBorders>
          <w:top w:val="nil"/>
          <w:left w:val="nil"/>
          <w:bottom w:val="nil"/>
          <w:right w:val="nil"/>
          <w:insideH w:val="nil"/>
          <w:insideV w:val="single" w:sz="4" w:space="0" w:color="303030" w:themeColor="text1"/>
          <w:tl2br w:val="nil"/>
          <w:tr2bl w:val="nil"/>
        </w:tcBorders>
      </w:tcPr>
    </w:tblStylePr>
    <w:tblStylePr w:type="band2Horz">
      <w:tblPr/>
      <w:tcPr>
        <w:tcBorders>
          <w:top w:val="nil"/>
          <w:left w:val="nil"/>
          <w:bottom w:val="nil"/>
          <w:right w:val="nil"/>
          <w:insideH w:val="nil"/>
          <w:insideV w:val="single" w:sz="4" w:space="0" w:color="303030" w:themeColor="text1"/>
          <w:tl2br w:val="nil"/>
          <w:tr2bl w:val="nil"/>
        </w:tcBorders>
        <w:shd w:val="solid" w:color="ECDED2" w:themeColor="accent4" w:themeTint="33" w:fill="A3FFA3" w:themeFill="accent6" w:themeFillTint="33"/>
      </w:tcPr>
    </w:tblStylePr>
  </w:style>
  <w:style w:type="paragraph" w:customStyle="1" w:styleId="TableCell-WhiteText">
    <w:name w:val="Table Cell - White Text"/>
    <w:qFormat/>
    <w:rsid w:val="00883321"/>
    <w:rPr>
      <w:bCs/>
      <w:color w:val="FFFFFF" w:themeColor="background1"/>
    </w:rPr>
  </w:style>
  <w:style w:type="paragraph" w:customStyle="1" w:styleId="TableHeaderRow-WhiteText">
    <w:name w:val="Table Header Row - White Text"/>
    <w:basedOn w:val="TableHeaderRow"/>
    <w:qFormat/>
    <w:rsid w:val="00FE5E7C"/>
    <w:rPr>
      <w:bCs/>
      <w:iCs/>
      <w:color w:val="FFFFFF" w:themeColor="background2"/>
    </w:rPr>
  </w:style>
  <w:style w:type="table" w:styleId="TableColumns5">
    <w:name w:val="Table Columns 5"/>
    <w:basedOn w:val="TableNormal"/>
    <w:uiPriority w:val="99"/>
    <w:semiHidden/>
    <w:unhideWhenUsed/>
    <w:rsid w:val="006B54F8"/>
    <w:pPr>
      <w:spacing w:after="24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TableCell-WhiteTextReverse">
    <w:name w:val="Table Cell - White Text (Reverse)"/>
    <w:basedOn w:val="TableCell-DarkText"/>
    <w:qFormat/>
    <w:rsid w:val="0084404C"/>
    <w:rPr>
      <w:bCs/>
      <w:color w:val="FFFFFF" w:themeColor="background2"/>
    </w:rPr>
  </w:style>
  <w:style w:type="paragraph" w:customStyle="1" w:styleId="NormalIndent1">
    <w:name w:val="Normal Indent 1&quot;"/>
    <w:basedOn w:val="NormalIndent"/>
    <w:qFormat/>
    <w:rsid w:val="008E5875"/>
    <w:pPr>
      <w:ind w:left="1440"/>
    </w:pPr>
  </w:style>
  <w:style w:type="paragraph" w:styleId="TableofFigures">
    <w:name w:val="table of figures"/>
    <w:next w:val="Normal"/>
    <w:uiPriority w:val="99"/>
    <w:unhideWhenUsed/>
    <w:rsid w:val="006506AB"/>
    <w:pPr>
      <w:tabs>
        <w:tab w:val="right" w:leader="underscore" w:pos="9346"/>
      </w:tabs>
      <w:spacing w:after="0"/>
    </w:pPr>
    <w:rPr>
      <w:noProof/>
      <w:color w:val="303030" w:themeColor="text2"/>
    </w:rPr>
  </w:style>
  <w:style w:type="paragraph" w:customStyle="1" w:styleId="NormalIndent15">
    <w:name w:val="Normal Indent 1.5&quot;"/>
    <w:basedOn w:val="NormalIndent1"/>
    <w:qFormat/>
    <w:rsid w:val="008E5875"/>
    <w:pPr>
      <w:ind w:left="2160"/>
    </w:pPr>
  </w:style>
  <w:style w:type="paragraph" w:customStyle="1" w:styleId="Normal-Indent5">
    <w:name w:val="Normal - Indent .5&quot;"/>
    <w:basedOn w:val="NormalIndent"/>
    <w:qFormat/>
    <w:rsid w:val="008E5875"/>
  </w:style>
  <w:style w:type="paragraph" w:styleId="TOC6">
    <w:name w:val="toc 6"/>
    <w:basedOn w:val="Normal"/>
    <w:next w:val="Normal"/>
    <w:autoRedefine/>
    <w:uiPriority w:val="39"/>
    <w:unhideWhenUsed/>
    <w:rsid w:val="006506AB"/>
    <w:pPr>
      <w:tabs>
        <w:tab w:val="right" w:leader="underscore" w:pos="9350"/>
      </w:tabs>
      <w:spacing w:after="120"/>
      <w:ind w:left="720"/>
    </w:pPr>
    <w:rPr>
      <w:b/>
      <w:noProof/>
    </w:rPr>
  </w:style>
  <w:style w:type="paragraph" w:styleId="TOC7">
    <w:name w:val="toc 7"/>
    <w:basedOn w:val="Normal"/>
    <w:next w:val="Normal"/>
    <w:autoRedefine/>
    <w:uiPriority w:val="39"/>
    <w:unhideWhenUsed/>
    <w:rsid w:val="00E1560B"/>
    <w:pPr>
      <w:shd w:val="clear" w:color="303030" w:themeColor="text1" w:fill="auto"/>
      <w:tabs>
        <w:tab w:val="right" w:leader="underscore" w:pos="9346"/>
      </w:tabs>
      <w:spacing w:after="120"/>
      <w:ind w:left="1080"/>
    </w:pPr>
    <w:rPr>
      <w:color w:val="303030" w:themeColor="text1"/>
    </w:rPr>
  </w:style>
  <w:style w:type="paragraph" w:styleId="TOC8">
    <w:name w:val="toc 8"/>
    <w:basedOn w:val="Normal"/>
    <w:next w:val="Normal"/>
    <w:autoRedefine/>
    <w:uiPriority w:val="39"/>
    <w:unhideWhenUsed/>
    <w:rsid w:val="006506AB"/>
    <w:pPr>
      <w:tabs>
        <w:tab w:val="right" w:leader="underscore" w:pos="9350"/>
      </w:tabs>
      <w:spacing w:after="120"/>
      <w:ind w:left="1080"/>
    </w:pPr>
    <w:rPr>
      <w:b/>
      <w:noProof/>
    </w:rPr>
  </w:style>
  <w:style w:type="paragraph" w:styleId="TOC9">
    <w:name w:val="toc 9"/>
    <w:basedOn w:val="Normal"/>
    <w:next w:val="Normal"/>
    <w:autoRedefine/>
    <w:uiPriority w:val="39"/>
    <w:unhideWhenUsed/>
    <w:rsid w:val="006506AB"/>
    <w:pPr>
      <w:tabs>
        <w:tab w:val="right" w:leader="underscore" w:pos="9350"/>
      </w:tabs>
      <w:spacing w:after="120"/>
      <w:ind w:left="1080"/>
    </w:pPr>
    <w:rPr>
      <w:color w:val="007935" w:themeColor="accent1"/>
    </w:rPr>
  </w:style>
  <w:style w:type="paragraph" w:customStyle="1" w:styleId="Normal-Centered-SpaceAfter">
    <w:name w:val="Normal - Centered - Space After"/>
    <w:basedOn w:val="Normal-Centered"/>
    <w:qFormat/>
    <w:rsid w:val="00C67EE1"/>
    <w:pPr>
      <w:spacing w:after="480"/>
    </w:pPr>
  </w:style>
  <w:style w:type="paragraph" w:customStyle="1" w:styleId="Normal-Centered-NoSpaceAfter">
    <w:name w:val="Normal - Centered - No Space After"/>
    <w:basedOn w:val="Normal-Centered"/>
    <w:qFormat/>
    <w:rsid w:val="00EC5EA4"/>
    <w:pPr>
      <w:spacing w:after="0"/>
    </w:pPr>
  </w:style>
  <w:style w:type="paragraph" w:customStyle="1" w:styleId="Normal-SpaceAfter">
    <w:name w:val="Normal - Space After"/>
    <w:basedOn w:val="Normal"/>
    <w:qFormat/>
    <w:rsid w:val="00D85859"/>
    <w:pPr>
      <w:spacing w:after="480"/>
    </w:pPr>
  </w:style>
  <w:style w:type="paragraph" w:styleId="Revision">
    <w:name w:val="Revision"/>
    <w:hidden/>
    <w:uiPriority w:val="99"/>
    <w:semiHidden/>
    <w:rsid w:val="00B02648"/>
    <w:pPr>
      <w:spacing w:after="0" w:line="240" w:lineRule="auto"/>
    </w:pPr>
    <w:rPr>
      <w:color w:val="303030" w:themeColor="tex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539139">
      <w:bodyDiv w:val="1"/>
      <w:marLeft w:val="0"/>
      <w:marRight w:val="0"/>
      <w:marTop w:val="0"/>
      <w:marBottom w:val="0"/>
      <w:divBdr>
        <w:top w:val="none" w:sz="0" w:space="0" w:color="auto"/>
        <w:left w:val="none" w:sz="0" w:space="0" w:color="auto"/>
        <w:bottom w:val="none" w:sz="0" w:space="0" w:color="auto"/>
        <w:right w:val="none" w:sz="0" w:space="0" w:color="auto"/>
      </w:divBdr>
    </w:div>
    <w:div w:id="305746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accd.vermont.gov/community-development/funding-incentives/vcdp/env-review"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ecfr.gov/current/title-24/section-58.36"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ccd.vermont.gov/community-development/funding-incentives/vcdp/env-review" TargetMode="Externa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accd.vermont.gov/community-development/funding-incentives/vcdp/env-review/approved-historic-preservation-consultant-list" TargetMode="External"/><Relationship Id="rId20" Type="http://schemas.openxmlformats.org/officeDocument/2006/relationships/hyperlink" Target="https://www.ecfr.gov/current/title-24/section-58.3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ace.vinson@vermont.gov" TargetMode="External"/><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champ.vermont.gov/" TargetMode="External"/><Relationship Id="rId28"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hyperlink" Target="https://www.ecfr.gov/current/title-24/section-58.3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accd.vermont.gov/community-development/funding-incentives/vcdp/env-review/ER-Steps-FAQs"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tate of Vermont">
      <a:dk1>
        <a:srgbClr val="303030"/>
      </a:dk1>
      <a:lt1>
        <a:srgbClr val="FFFFFF"/>
      </a:lt1>
      <a:dk2>
        <a:srgbClr val="303030"/>
      </a:dk2>
      <a:lt2>
        <a:srgbClr val="FFFFFF"/>
      </a:lt2>
      <a:accent1>
        <a:srgbClr val="007935"/>
      </a:accent1>
      <a:accent2>
        <a:srgbClr val="174A7C"/>
      </a:accent2>
      <a:accent3>
        <a:srgbClr val="8B2929"/>
      </a:accent3>
      <a:accent4>
        <a:srgbClr val="8B5F3A"/>
      </a:accent4>
      <a:accent5>
        <a:srgbClr val="B85423"/>
      </a:accent5>
      <a:accent6>
        <a:srgbClr val="0033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DFE98C7071274EA709CFED0A4CB478" ma:contentTypeVersion="6" ma:contentTypeDescription="Create a new document." ma:contentTypeScope="" ma:versionID="7158459663e79b8cb81214032c1cca5f">
  <xsd:schema xmlns:xsd="http://www.w3.org/2001/XMLSchema" xmlns:xs="http://www.w3.org/2001/XMLSchema" xmlns:p="http://schemas.microsoft.com/office/2006/metadata/properties" xmlns:ns2="b0572314-4400-4c30-b6be-af21dc0ec631" targetNamespace="http://schemas.microsoft.com/office/2006/metadata/properties" ma:root="true" ma:fieldsID="082c0f711b387a5b6700f705db5f1b23" ns2:_="">
    <xsd:import namespace="b0572314-4400-4c30-b6be-af21dc0ec631"/>
    <xsd:element name="properties">
      <xsd:complexType>
        <xsd:sequence>
          <xsd:element name="documentManagement">
            <xsd:complexType>
              <xsd:all>
                <xsd:element ref="ns2:SharedWithUsers" minOccurs="0"/>
                <xsd:element ref="ns2:_dlc_DocId" minOccurs="0"/>
                <xsd:element ref="ns2:_dlc_DocIdUrl" minOccurs="0"/>
                <xsd:element ref="ns2:_dlc_DocIdPersistId"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572314-4400-4c30-b6be-af21dc0ec63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b0572314-4400-4c30-b6be-af21dc0ec631">
      <UserInfo>
        <DisplayName>Young, John</DisplayName>
        <AccountId>381</AccountId>
        <AccountType/>
      </UserInfo>
      <UserInfo>
        <DisplayName>Fortin, David (he/him)</DisplayName>
        <AccountId>467</AccountId>
        <AccountType/>
      </UserInfo>
      <UserInfo>
        <DisplayName>Lipinski, James</DisplayName>
        <AccountId>121</AccountId>
        <AccountType/>
      </UserInfo>
      <UserInfo>
        <DisplayName>Hicks, Heather (She/Her)</DisplayName>
        <AccountId>68</AccountId>
        <AccountType/>
      </UserInfo>
      <UserInfo>
        <DisplayName>Omodeo, Christie (she/her)</DisplayName>
        <AccountId>67</AccountId>
        <AccountType/>
      </UserInfo>
      <UserInfo>
        <DisplayName>Everyone</DisplayName>
        <AccountId>9</AccountId>
        <AccountType/>
      </UserInfo>
      <UserInfo>
        <DisplayName>Everyone except external users</DisplayName>
        <AccountId>8</AccountId>
        <AccountType/>
      </UserInfo>
    </SharedWithUsers>
    <_dlc_DocId xmlns="b0572314-4400-4c30-b6be-af21dc0ec631">YSSN3WUNHHSM-535129369-11921</_dlc_DocId>
    <_dlc_DocIdUrl xmlns="b0572314-4400-4c30-b6be-af21dc0ec631">
      <Url>https://outside.vermont.gov/agency/ACCD/_layouts/15/DocIdRedir.aspx?ID=YSSN3WUNHHSM-535129369-11921</Url>
      <Description>YSSN3WUNHHSM-535129369-11921</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23D3372-197A-41BC-93D2-C50887863A88}">
  <ds:schemaRefs>
    <ds:schemaRef ds:uri="http://schemas.microsoft.com/sharepoint/v3/contenttype/forms"/>
  </ds:schemaRefs>
</ds:datastoreItem>
</file>

<file path=customXml/itemProps2.xml><?xml version="1.0" encoding="utf-8"?>
<ds:datastoreItem xmlns:ds="http://schemas.openxmlformats.org/officeDocument/2006/customXml" ds:itemID="{432D6014-62B7-4800-A767-5D9D20E6032C}"/>
</file>

<file path=customXml/itemProps3.xml><?xml version="1.0" encoding="utf-8"?>
<ds:datastoreItem xmlns:ds="http://schemas.openxmlformats.org/officeDocument/2006/customXml" ds:itemID="{F40649C2-5911-473B-889A-0D7DE6E3E086}">
  <ds:schemaRefs>
    <ds:schemaRef ds:uri="http://schemas.openxmlformats.org/officeDocument/2006/bibliography"/>
  </ds:schemaRefs>
</ds:datastoreItem>
</file>

<file path=customXml/itemProps4.xml><?xml version="1.0" encoding="utf-8"?>
<ds:datastoreItem xmlns:ds="http://schemas.openxmlformats.org/officeDocument/2006/customXml" ds:itemID="{E6A8135F-8B7B-4346-9E2D-7821F2056A63}">
  <ds:schemaRefs>
    <ds:schemaRef ds:uri="http://schemas.microsoft.com/office/2006/metadata/properties"/>
    <ds:schemaRef ds:uri="http://schemas.microsoft.com/office/infopath/2007/PartnerControls"/>
    <ds:schemaRef ds:uri="1bfa00c3-9c2e-4fc6-ba84-ebb89d531bef"/>
    <ds:schemaRef ds:uri="ca8c0286-65e9-4dd8-8ca6-f7a27f7b301a"/>
  </ds:schemaRefs>
</ds:datastoreItem>
</file>

<file path=customXml/itemProps5.xml><?xml version="1.0" encoding="utf-8"?>
<ds:datastoreItem xmlns:ds="http://schemas.openxmlformats.org/officeDocument/2006/customXml" ds:itemID="{CF88FC26-AE19-4C34-A6AB-9EAA6C25556D}"/>
</file>

<file path=docMetadata/LabelInfo.xml><?xml version="1.0" encoding="utf-8"?>
<clbl:labelList xmlns:clbl="http://schemas.microsoft.com/office/2020/mipLabelMetadata">
  <clbl:label id="{20b4933b-baad-433c-9c02-70edcc7559c6}" enabled="0" method="" siteId="{20b4933b-baad-433c-9c02-70edcc7559c6}" removed="1"/>
</clbl:labelList>
</file>

<file path=docProps/app.xml><?xml version="1.0" encoding="utf-8"?>
<Properties xmlns="http://schemas.openxmlformats.org/officeDocument/2006/extended-properties" xmlns:vt="http://schemas.openxmlformats.org/officeDocument/2006/docPropsVTypes">
  <Template>Normal</Template>
  <TotalTime>3030</TotalTime>
  <Pages>9</Pages>
  <Words>2664</Words>
  <Characters>15190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2026 Process Memo Accessible</vt:lpstr>
    </vt:vector>
  </TitlesOfParts>
  <Manager>Vinson Grace</Manager>
  <Company/>
  <LinksUpToDate>false</LinksUpToDate>
  <CharactersWithSpaces>17819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Process Memo Accessible</dc:title>
  <dc:subject/>
  <dc:creator>Vinson, Grace</dc:creator>
  <cp:keywords/>
  <dc:description/>
  <cp:lastModifiedBy>Walsh, Rebecca</cp:lastModifiedBy>
  <cp:revision>25</cp:revision>
  <cp:lastPrinted>2023-02-28T20:25:00Z</cp:lastPrinted>
  <dcterms:created xsi:type="dcterms:W3CDTF">2026-06-10T17:29:00Z</dcterms:created>
  <dcterms:modified xsi:type="dcterms:W3CDTF">2026-07-13T19:57:00Z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0x010100CCDFE98C7071274EA709CFED0A4CB478</vt:lpwstr>
  </property>
  <property fmtid="{D5CDD505-2E9C-101B-9397-08002B2CF9AE}" pid="3" name="MediaServiceImageTags">
    <vt:lpwstr/>
  </property>
  <property fmtid="{D5CDD505-2E9C-101B-9397-08002B2CF9AE}" pid="4" name="SharedWithUsers">
    <vt:lpwstr>381;#Young, John;#467;#Fortin, David (he/him);#121;#Lipinski, James;#68;#Hicks, Heather (She/Her);#67;#Omodeo, Christie (she/her);#9;#Everyone;#8;#Everyone except external users</vt:lpwstr>
  </property>
  <property fmtid="{D5CDD505-2E9C-101B-9397-08002B2CF9AE}" pid="5" name="GrammarlyDocumentId">
    <vt:lpwstr>0c7b3cd2-cc04-451a-98ec-5ceb17a50f39</vt:lpwstr>
  </property>
  <property fmtid="{D5CDD505-2E9C-101B-9397-08002B2CF9AE}" pid="6" name="_dlc_DocIdItemGuid">
    <vt:lpwstr>8eb77fb7-7b33-4695-9a14-1b81f0cec16f</vt:lpwstr>
  </property>
</Properties>
</file>